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Valenti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13,802</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607,558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190,000</w:t>
            </w:r>
            <w:r>
              <w:rPr>
                <w:rFonts w:ascii="Times;serif" w:hAnsi="Times;serif"/>
                <w:color w:val="008000"/>
                <w:position w:val="7"/>
                <w:sz w:val="16"/>
                <w:sz w:val="20"/>
                <w:shd w:fill="FFFFFF" w:val="clear"/>
              </w:rPr>
              <w:t>(2)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797,558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190,000</w:t>
            </w:r>
            <w:r>
              <w:rPr>
                <w:rFonts w:ascii="Times;serif" w:hAnsi="Times;serif"/>
                <w:color w:val="008000"/>
                <w:position w:val="7"/>
                <w:sz w:val="16"/>
                <w:sz w:val="20"/>
                <w:shd w:fill="FFFFFF" w:val="clear"/>
              </w:rPr>
              <w:t>(3)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987,558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(4)</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1,747,909</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are issuable pursuant to a Restricted Stock Unit (RSU) award. 100% of the RSUs vest on August 10,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that are issuable pursuant to a RSU award. The vesting commencement date of the RSU award is August 10, 2026 and it vests 25% after one year and quarterly thereafter in equal installments over a period of 3 years. The initial vest date will be August 10, 2027 and the final vest date will be August 10,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that are issuable pursuant to a Performance-based Restricted Stock Unit (PSU) award, previously granted on July 29, 2025, and earned from performance based on the achievement of certain performance metrics during the fiscal year ended June 30, 2026, as determined on July 29, 2026. 25% of the PSUs vest on August 10, 2026, and the remaining PSUs vest quarterly thereafter over a period of 3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Mr. Valenti's children.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Gregory Wong For: Douglas Valenti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98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4018</Characters>
  <CharactersWithSpaces>4688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