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13"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Q</w:t>
      </w:r>
      <w:r>
        <w:rPr>
          <w:rFonts w:ascii="Times New Roman" w:cs="Times New Roman" w:eastAsia="Times New Roman" w:hAnsi="Times New Roman"/>
          <w:sz w:val="32"/>
          <w:szCs w:val="32"/>
          <w:b w:val="1"/>
          <w:bCs w:val="1"/>
          <w:color w:val="auto"/>
        </w:rPr>
        <w:t>UIN</w:t>
      </w:r>
      <w:r>
        <w:rPr>
          <w:rFonts w:ascii="Times New Roman" w:cs="Times New Roman" w:eastAsia="Times New Roman" w:hAnsi="Times New Roman"/>
          <w:sz w:val="43"/>
          <w:szCs w:val="43"/>
          <w:b w:val="1"/>
          <w:bCs w:val="1"/>
          <w:color w:val="auto"/>
        </w:rPr>
        <w:t>S</w:t>
      </w:r>
      <w:r>
        <w:rPr>
          <w:rFonts w:ascii="Times New Roman" w:cs="Times New Roman" w:eastAsia="Times New Roman" w:hAnsi="Times New Roman"/>
          <w:sz w:val="32"/>
          <w:szCs w:val="32"/>
          <w:b w:val="1"/>
          <w:bCs w:val="1"/>
          <w:color w:val="auto"/>
        </w:rPr>
        <w:t>TREET</w:t>
      </w:r>
      <w:r>
        <w:rPr>
          <w:rFonts w:ascii="Times New Roman" w:cs="Times New Roman" w:eastAsia="Times New Roman" w:hAnsi="Times New Roman"/>
          <w:sz w:val="43"/>
          <w:szCs w:val="43"/>
          <w:b w:val="1"/>
          <w:bCs w:val="1"/>
          <w:color w:val="auto"/>
        </w:rPr>
        <w:t>, I</w:t>
      </w:r>
      <w:r>
        <w:rPr>
          <w:rFonts w:ascii="Times New Roman" w:cs="Times New Roman" w:eastAsia="Times New Roman" w:hAnsi="Times New Roman"/>
          <w:sz w:val="32"/>
          <w:szCs w:val="32"/>
          <w:b w:val="1"/>
          <w:bCs w:val="1"/>
          <w:color w:val="auto"/>
        </w:rPr>
        <w:t>NC</w:t>
      </w:r>
      <w:r>
        <w:rPr>
          <w:rFonts w:ascii="Times New Roman" w:cs="Times New Roman" w:eastAsia="Times New Roman" w:hAnsi="Times New Roman"/>
          <w:sz w:val="43"/>
          <w:szCs w:val="43"/>
          <w:b w:val="1"/>
          <w:bCs w:val="1"/>
          <w:color w:val="auto"/>
        </w:rPr>
        <w:t>.</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100" w:type="dxa"/>
        <w:tblCellMar>
          <w:top w:w="0" w:type="dxa"/>
          <w:left w:w="0" w:type="dxa"/>
          <w:bottom w:w="0" w:type="dxa"/>
          <w:right w:w="0" w:type="dxa"/>
        </w:tblCellMar>
      </w:tblPr>
      <w:tr>
        <w:trPr>
          <w:trHeight w:val="214"/>
        </w:trPr>
        <w:tc>
          <w:tcPr>
            <w:tcW w:w="178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6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001-34628</w:t>
            </w:r>
          </w:p>
        </w:tc>
        <w:tc>
          <w:tcPr>
            <w:tcW w:w="1680" w:type="dxa"/>
            <w:vAlign w:val="bottom"/>
          </w:tcPr>
          <w:p>
            <w:pPr>
              <w:spacing w:after="0"/>
              <w:rPr>
                <w:sz w:val="18"/>
                <w:szCs w:val="18"/>
                <w:color w:val="auto"/>
              </w:rPr>
            </w:pPr>
          </w:p>
        </w:tc>
        <w:tc>
          <w:tcPr>
            <w:tcW w:w="1340" w:type="dxa"/>
            <w:vAlign w:val="bottom"/>
          </w:tcPr>
          <w:p>
            <w:pPr>
              <w:jc w:val="center"/>
              <w:ind w:left="142"/>
              <w:spacing w:after="0"/>
              <w:rPr>
                <w:sz w:val="20"/>
                <w:szCs w:val="20"/>
                <w:color w:val="auto"/>
              </w:rPr>
            </w:pPr>
            <w:r>
              <w:rPr>
                <w:rFonts w:ascii="Times New Roman" w:cs="Times New Roman" w:eastAsia="Times New Roman" w:hAnsi="Times New Roman"/>
                <w:sz w:val="18"/>
                <w:szCs w:val="18"/>
                <w:b w:val="1"/>
                <w:bCs w:val="1"/>
                <w:color w:val="auto"/>
              </w:rPr>
              <w:t>77-0512121</w:t>
            </w:r>
          </w:p>
        </w:tc>
      </w:tr>
      <w:tr>
        <w:trPr>
          <w:trHeight w:val="148"/>
        </w:trPr>
        <w:tc>
          <w:tcPr>
            <w:tcW w:w="17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620" w:type="dxa"/>
            <w:vAlign w:val="bottom"/>
          </w:tcPr>
          <w:p>
            <w:pPr>
              <w:spacing w:after="0"/>
              <w:rPr>
                <w:sz w:val="12"/>
                <w:szCs w:val="12"/>
                <w:color w:val="auto"/>
              </w:rPr>
            </w:pPr>
          </w:p>
        </w:tc>
        <w:tc>
          <w:tcPr>
            <w:tcW w:w="392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340" w:type="dxa"/>
            <w:vAlign w:val="bottom"/>
          </w:tcPr>
          <w:p>
            <w:pPr>
              <w:jc w:val="center"/>
              <w:ind w:left="1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7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620" w:type="dxa"/>
            <w:vAlign w:val="bottom"/>
          </w:tcPr>
          <w:p>
            <w:pPr>
              <w:spacing w:after="0"/>
              <w:rPr>
                <w:sz w:val="16"/>
                <w:szCs w:val="16"/>
                <w:color w:val="auto"/>
              </w:rPr>
            </w:pPr>
          </w:p>
        </w:tc>
        <w:tc>
          <w:tcPr>
            <w:tcW w:w="39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40" w:type="dxa"/>
            <w:vAlign w:val="bottom"/>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1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92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8"/>
              </w:rPr>
              <w:t>950 Tower Lane, 12</w:t>
            </w:r>
            <w:r>
              <w:rPr>
                <w:rFonts w:ascii="Times New Roman" w:cs="Times New Roman" w:eastAsia="Times New Roman" w:hAnsi="Times New Roman"/>
                <w:sz w:val="20"/>
                <w:szCs w:val="20"/>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w:t>
            </w:r>
          </w:p>
        </w:tc>
        <w:tc>
          <w:tcPr>
            <w:tcW w:w="1340" w:type="dxa"/>
            <w:vAlign w:val="bottom"/>
          </w:tcPr>
          <w:p>
            <w:pPr>
              <w:spacing w:after="0"/>
              <w:rPr>
                <w:sz w:val="24"/>
                <w:szCs w:val="24"/>
                <w:color w:val="auto"/>
              </w:rPr>
            </w:pPr>
          </w:p>
        </w:tc>
      </w:tr>
      <w:tr>
        <w:trPr>
          <w:trHeight w:val="214"/>
        </w:trPr>
        <w:tc>
          <w:tcPr>
            <w:tcW w:w="1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92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Foster City, CA 94404</w:t>
            </w:r>
          </w:p>
        </w:tc>
        <w:tc>
          <w:tcPr>
            <w:tcW w:w="1340" w:type="dxa"/>
            <w:vAlign w:val="bottom"/>
          </w:tcPr>
          <w:p>
            <w:pPr>
              <w:spacing w:after="0"/>
              <w:rPr>
                <w:sz w:val="18"/>
                <w:szCs w:val="18"/>
                <w:color w:val="auto"/>
              </w:rPr>
            </w:pPr>
          </w:p>
        </w:tc>
      </w:tr>
      <w:tr>
        <w:trPr>
          <w:trHeight w:val="190"/>
        </w:trPr>
        <w:tc>
          <w:tcPr>
            <w:tcW w:w="1780" w:type="dxa"/>
            <w:vAlign w:val="bottom"/>
          </w:tcPr>
          <w:p>
            <w:pPr>
              <w:spacing w:after="0"/>
              <w:rPr>
                <w:sz w:val="16"/>
                <w:szCs w:val="16"/>
                <w:color w:val="auto"/>
              </w:rPr>
            </w:pPr>
          </w:p>
        </w:tc>
        <w:tc>
          <w:tcPr>
            <w:tcW w:w="5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1340" w:type="dxa"/>
            <w:vAlign w:val="bottom"/>
          </w:tcPr>
          <w:p>
            <w:pPr>
              <w:spacing w:after="0"/>
              <w:rPr>
                <w:sz w:val="16"/>
                <w:szCs w:val="16"/>
                <w:color w:val="auto"/>
              </w:rPr>
            </w:pPr>
          </w:p>
        </w:tc>
      </w:tr>
      <w:tr>
        <w:trPr>
          <w:trHeight w:val="307"/>
        </w:trPr>
        <w:tc>
          <w:tcPr>
            <w:tcW w:w="1780" w:type="dxa"/>
            <w:vAlign w:val="bottom"/>
          </w:tcPr>
          <w:p>
            <w:pPr>
              <w:spacing w:after="0"/>
              <w:rPr>
                <w:sz w:val="24"/>
                <w:szCs w:val="24"/>
                <w:color w:val="auto"/>
              </w:rPr>
            </w:pPr>
          </w:p>
        </w:tc>
        <w:tc>
          <w:tcPr>
            <w:tcW w:w="5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(650) 578-7700</w:t>
            </w:r>
          </w:p>
        </w:tc>
        <w:tc>
          <w:tcPr>
            <w:tcW w:w="1340" w:type="dxa"/>
            <w:vAlign w:val="bottom"/>
          </w:tcPr>
          <w:p>
            <w:pPr>
              <w:spacing w:after="0"/>
              <w:rPr>
                <w:sz w:val="24"/>
                <w:szCs w:val="24"/>
                <w:color w:val="auto"/>
              </w:rPr>
            </w:pPr>
          </w:p>
        </w:tc>
      </w:tr>
      <w:tr>
        <w:trPr>
          <w:trHeight w:val="135"/>
        </w:trPr>
        <w:tc>
          <w:tcPr>
            <w:tcW w:w="17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1340" w:type="dxa"/>
            <w:vAlign w:val="bottom"/>
          </w:tcPr>
          <w:p>
            <w:pPr>
              <w:spacing w:after="0"/>
              <w:rPr>
                <w:sz w:val="11"/>
                <w:szCs w:val="11"/>
                <w:color w:val="auto"/>
              </w:rPr>
            </w:pP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9" w:lineRule="exact"/>
        <w:rPr>
          <w:sz w:val="24"/>
          <w:szCs w:val="24"/>
          <w:color w:val="auto"/>
        </w:rPr>
      </w:pPr>
    </w:p>
    <w:tbl>
      <w:tblPr>
        <w:tblLayout w:type="fixed"/>
        <w:tblInd w:w="52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3640" w:type="dxa"/>
            <w:vAlign w:val="bottom"/>
            <w:gridSpan w:val="2"/>
          </w:tcPr>
          <w:p>
            <w:pPr>
              <w:jc w:val="center"/>
              <w:ind w:right="242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160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60" w:type="dxa"/>
            <w:vAlign w:val="bottom"/>
            <w:gridSpan w:val="2"/>
            <w:vMerge w:val="restart"/>
          </w:tcPr>
          <w:p>
            <w:pPr>
              <w:jc w:val="center"/>
              <w:ind w:right="1580"/>
              <w:spacing w:after="0"/>
              <w:rPr>
                <w:sz w:val="20"/>
                <w:szCs w:val="20"/>
                <w:color w:val="auto"/>
              </w:rPr>
            </w:pPr>
            <w:r>
              <w:rPr>
                <w:rFonts w:ascii="Times New Roman" w:cs="Times New Roman" w:eastAsia="Times New Roman" w:hAnsi="Times New Roman"/>
                <w:sz w:val="16"/>
                <w:szCs w:val="16"/>
                <w:b w:val="1"/>
                <w:bCs w:val="1"/>
                <w:color w:val="auto"/>
              </w:rPr>
              <w:t>QNST</w:t>
            </w:r>
          </w:p>
        </w:tc>
        <w:tc>
          <w:tcPr>
            <w:tcW w:w="3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520" w:type="dxa"/>
            <w:vAlign w:val="bottom"/>
            <w:gridSpan w:val="3"/>
          </w:tcPr>
          <w:p>
            <w:pPr>
              <w:jc w:val="center"/>
              <w:ind w:right="1540"/>
              <w:spacing w:after="0" w:line="168" w:lineRule="exact"/>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2660" w:type="dxa"/>
            <w:vAlign w:val="bottom"/>
            <w:gridSpan w:val="2"/>
            <w:vMerge w:val="continue"/>
          </w:tcPr>
          <w:p>
            <w:pPr>
              <w:spacing w:after="0"/>
              <w:rPr>
                <w:sz w:val="14"/>
                <w:szCs w:val="14"/>
                <w:color w:val="auto"/>
              </w:rPr>
            </w:pPr>
          </w:p>
        </w:tc>
        <w:tc>
          <w:tcPr>
            <w:tcW w:w="30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212"/>
        </w:trPr>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204"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267" w:right="47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Amendment No. 1 to Form 8-K is filed by QuinStreet, Inc., a Delaware corporation (the “Company”), to provide the financial statements required by Item 9.01(a)(1) and the pro forma financial information required by Item 9.01(b)(1) of Form 8-K related to the completion of the acquisition of SIREN GROUP AG d/b/a HomeBuddy, a company limited by shares organized under the laws of Switzerland (“HomeBuddy”), previously reported in the Current Report on Form 8-K (File No. 001-34628) filed with the Securities and Exchange Commission on January 2, 2026. The pro forma financial information gives effect to certain pro forma events related to the acquisition and has been presented for informational purposes only. It does not purport to project the future financial position or operating results of the Company following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 of Businesses Acquired.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as Exhibit 99.1 are the following financial statements as required by Item 9.01(a) of Form 8-K:</w:t>
      </w:r>
    </w:p>
    <w:p>
      <w:pPr>
        <w:spacing w:after="0" w:line="99" w:lineRule="exact"/>
        <w:rPr>
          <w:sz w:val="20"/>
          <w:szCs w:val="20"/>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Financial Statements of HomeBuddy as of and for the year ended December 31,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Consolidated Interim Financial Statements of HomeBuddy as of and for the nine months ended September 30, 2025</w:t>
      </w:r>
    </w:p>
    <w:p>
      <w:pPr>
        <w:spacing w:after="0" w:line="22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Financial Information.</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of the Company, giving effect to the acquisition of HomeBuddy, is included in Exhibit 99.2 hereto as required by Item 9.01(b) of Form 8-K:</w:t>
      </w:r>
    </w:p>
    <w:p>
      <w:pPr>
        <w:spacing w:after="0" w:line="73" w:lineRule="exact"/>
        <w:rPr>
          <w:sz w:val="20"/>
          <w:szCs w:val="20"/>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Pro Forma Condensed Combined Balance Sheet as of September 30, 2025</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Pro Forma Condensed Combined Statements of Operations for the three months ended September 30, 2025, and the year ended June 30, 2025</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Unaudited Pro Forma Condensed Combined Financial Information</w:t>
      </w:r>
    </w:p>
    <w:p>
      <w:pPr>
        <w:spacing w:after="0" w:line="200" w:lineRule="exact"/>
        <w:rPr>
          <w:rFonts w:ascii="Times New Roman" w:cs="Times New Roman" w:eastAsia="Times New Roman" w:hAnsi="Times New Roman"/>
          <w:sz w:val="18"/>
          <w:szCs w:val="18"/>
          <w:color w:val="auto"/>
        </w:rPr>
      </w:pPr>
    </w:p>
    <w:p>
      <w:pPr>
        <w:spacing w:after="0" w:line="30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29" w:lineRule="exact"/>
        <w:rPr>
          <w:sz w:val="20"/>
          <w:szCs w:val="20"/>
          <w:color w:val="auto"/>
        </w:rPr>
      </w:pPr>
    </w:p>
    <w:p>
      <w:pPr>
        <w:ind w:left="60"/>
        <w:spacing w:after="0"/>
        <w:tabs>
          <w:tab w:leader="none" w:pos="860" w:val="left"/>
        </w:tabs>
        <w:rPr>
          <w:sz w:val="20"/>
          <w:szCs w:val="20"/>
          <w:color w:val="auto"/>
        </w:rPr>
      </w:pPr>
      <w:r>
        <w:rPr>
          <w:rFonts w:ascii="Times New Roman" w:cs="Times New Roman" w:eastAsia="Times New Roman" w:hAnsi="Times New Roman"/>
          <w:sz w:val="17"/>
          <w:szCs w:val="17"/>
          <w:b w:val="1"/>
          <w:bCs w:val="1"/>
          <w:u w:val="single" w:color="auto"/>
          <w:color w:val="auto"/>
        </w:rPr>
        <w:t>Number</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6985</wp:posOffset>
            </wp:positionV>
            <wp:extent cx="6574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spacing w:after="0" w:line="10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FF"/>
        </w:rPr>
        <w:t>Consent of BDO Ltd, Independent Auditor of Siren Group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-7620</wp:posOffset>
            </wp:positionV>
            <wp:extent cx="2868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68295" cy="8255"/>
                    </a:xfrm>
                    <a:prstGeom prst="rect">
                      <a:avLst/>
                    </a:prstGeom>
                    <a:noFill/>
                  </pic:spPr>
                </pic:pic>
              </a:graphicData>
            </a:graphic>
          </wp:anchor>
        </w:drawing>
      </w:r>
    </w:p>
    <w:p>
      <w:pPr>
        <w:spacing w:after="0" w:line="7" w:lineRule="exact"/>
        <w:rPr>
          <w:sz w:val="20"/>
          <w:szCs w:val="20"/>
          <w:color w:val="auto"/>
        </w:rPr>
      </w:pPr>
    </w:p>
    <w:p>
      <w:pPr>
        <w:ind w:left="880" w:right="340" w:hanging="876"/>
        <w:spacing w:after="0" w:line="250" w:lineRule="auto"/>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Audited December 31, 2024 Consolidated Financial Statements of HomeBuddy and Unaudited Condensed Consolidated Interim Financial Statements of HomeBuddy 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-161925</wp:posOffset>
            </wp:positionV>
            <wp:extent cx="6358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5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-24765</wp:posOffset>
            </wp:positionV>
            <wp:extent cx="3404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04870" cy="8255"/>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FF"/>
        </w:rPr>
        <w:t>Unaudited Pro Forma Condensed Combined Financial Information of QuinStreet,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-19050</wp:posOffset>
            </wp:positionV>
            <wp:extent cx="3937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37635" cy="8890"/>
                    </a:xfrm>
                    <a:prstGeom prst="rect">
                      <a:avLst/>
                    </a:prstGeom>
                    <a:noFill/>
                  </pic:spPr>
                </pic:pic>
              </a:graphicData>
            </a:graphic>
          </wp:anchor>
        </w:drawing>
      </w:r>
    </w:p>
    <w:p>
      <w:pPr>
        <w:ind w:left="880" w:hanging="872"/>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3"/>
                <w:szCs w:val="13"/>
                <w:b w:val="1"/>
                <w:bCs w:val="1"/>
                <w:color w:val="auto"/>
              </w:rPr>
              <w:t>UIN</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TREET</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8"/>
                <w:szCs w:val="18"/>
                <w:b w:val="1"/>
                <w:bCs w:val="1"/>
                <w:color w:val="auto"/>
              </w:rPr>
              <w:t>.</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13, 2026</w:t>
            </w:r>
          </w:p>
        </w:tc>
        <w:tc>
          <w:tcPr>
            <w:tcW w:w="27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Gregory Wong</w:t>
            </w:r>
          </w:p>
        </w:tc>
      </w:tr>
      <w:tr>
        <w:trPr>
          <w:trHeight w:val="191"/>
        </w:trPr>
        <w:tc>
          <w:tcPr>
            <w:tcW w:w="36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8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Gregory Wong</w:t>
            </w:r>
          </w:p>
        </w:tc>
      </w:tr>
      <w:tr>
        <w:trPr>
          <w:trHeight w:val="234"/>
        </w:trPr>
        <w:tc>
          <w:tcPr>
            <w:tcW w:w="36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222"/>
        </w:trPr>
        <w:tc>
          <w:tcPr>
            <w:tcW w:w="36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00" w:lineRule="exact"/>
        <w:rPr>
          <w:sz w:val="20"/>
          <w:szCs w:val="20"/>
          <w:color w:val="auto"/>
        </w:rPr>
      </w:pPr>
    </w:p>
    <w:p>
      <w:pPr>
        <w:spacing w:after="0" w:line="31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333-260769, 333-233532, 333-227296, 333-220397, 333-213220, 333-206472, 333-198714, 333-190735, 333-183517, 333-176272, 333-168322 and 333-165534) of QuinStreet, Inc. of our report dated December 27, 2025 relating to the consolidated financial statements of Siren Group AG, which appears in this Form 8-K/A.</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BDO Ltd.</w:t>
      </w:r>
    </w:p>
    <w:p>
      <w:pPr>
        <w:spacing w:after="0" w:line="200" w:lineRule="exact"/>
        <w:rPr>
          <w:sz w:val="20"/>
          <w:szCs w:val="20"/>
          <w:color w:val="auto"/>
        </w:rPr>
      </w:pPr>
    </w:p>
    <w:p>
      <w:pPr>
        <w:spacing w:after="0" w:line="309" w:lineRule="exact"/>
        <w:rPr>
          <w:sz w:val="20"/>
          <w:szCs w:val="20"/>
          <w:color w:val="auto"/>
        </w:rPr>
      </w:pPr>
    </w:p>
    <w:p>
      <w:pPr>
        <w:spacing w:after="0"/>
        <w:tabs>
          <w:tab w:leader="none" w:pos="2280" w:val="left"/>
        </w:tabs>
        <w:rPr>
          <w:sz w:val="20"/>
          <w:szCs w:val="20"/>
          <w:color w:val="auto"/>
        </w:rPr>
      </w:pPr>
      <w:r>
        <w:rPr>
          <w:rFonts w:ascii="Times New Roman" w:cs="Times New Roman" w:eastAsia="Times New Roman" w:hAnsi="Times New Roman"/>
          <w:sz w:val="18"/>
          <w:szCs w:val="18"/>
          <w:color w:val="auto"/>
        </w:rPr>
        <w:t>/s/Christoph Tschumi</w:t>
      </w:r>
      <w:r>
        <w:rPr>
          <w:sz w:val="20"/>
          <w:szCs w:val="20"/>
          <w:color w:val="auto"/>
        </w:rPr>
        <w:tab/>
      </w:r>
      <w:r>
        <w:rPr>
          <w:rFonts w:ascii="Times New Roman" w:cs="Times New Roman" w:eastAsia="Times New Roman" w:hAnsi="Times New Roman"/>
          <w:sz w:val="17"/>
          <w:szCs w:val="17"/>
          <w:color w:val="auto"/>
        </w:rPr>
        <w:t>/s/ppa. Eva Waldmeier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Zurich, Switzerland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Siren Group AG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Churerstrasse 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8808 Pfäffikon SZ</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consolidated financial statements of Siren Group AG and its subsidiary (the Company), which comprise the consolidated balance sheet as of December 31, 2024, and the related consolidated income statement, and statement of cash flow for the year then ended, and the related notes to the consolidated financial statements.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accompanying consolidated financial statements present fairly, in all material respects, the financial position of the Company as of December 31, 2024, and the results of its operations and its cash flows for the year then ended in accordance with Swiss Law and the consolidation and valuation principles set out in the notes.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unmodified audit opinion.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Responsibilities of Management for the Financial Statements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consolidated financial statements in accordance with Swiss Law and the consolidation and valuation principles set out in the notes, and for the design, implementation, and maintenance of internal control relevant to the preparation and fair presentation of consolidated financial statements that are free from material misstatement, whether due to fraud or error.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evaluate whether there are conditions or events, considered in the aggregate, that raise substantial doubt about the Company's ability to continue as a going concern within one year after the date that the consolidated financial statements are available to be issued.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Responsibilities for the Audit of the Financial Statements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117"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consolidated financial statements.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Zurich, December 27,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BDO Ltd</w:t>
      </w:r>
    </w:p>
    <w:p>
      <w:pPr>
        <w:spacing w:after="0" w:line="185" w:lineRule="exact"/>
        <w:rPr>
          <w:sz w:val="20"/>
          <w:szCs w:val="20"/>
          <w:color w:val="auto"/>
        </w:rPr>
      </w:pPr>
    </w:p>
    <w:p>
      <w:pPr>
        <w:spacing w:after="0"/>
        <w:tabs>
          <w:tab w:leader="none" w:pos="4280" w:val="left"/>
        </w:tabs>
        <w:rPr>
          <w:sz w:val="20"/>
          <w:szCs w:val="20"/>
          <w:color w:val="auto"/>
        </w:rPr>
      </w:pPr>
      <w:r>
        <w:rPr>
          <w:rFonts w:ascii="Times New Roman" w:cs="Times New Roman" w:eastAsia="Times New Roman" w:hAnsi="Times New Roman"/>
          <w:sz w:val="18"/>
          <w:szCs w:val="18"/>
          <w:color w:val="auto"/>
        </w:rPr>
        <w:t>/s/Christoph Tschumi</w:t>
      </w:r>
      <w:r>
        <w:rPr>
          <w:sz w:val="20"/>
          <w:szCs w:val="20"/>
          <w:color w:val="auto"/>
        </w:rPr>
        <w:tab/>
      </w:r>
      <w:r>
        <w:rPr>
          <w:rFonts w:ascii="Times New Roman" w:cs="Times New Roman" w:eastAsia="Times New Roman" w:hAnsi="Times New Roman"/>
          <w:sz w:val="18"/>
          <w:szCs w:val="18"/>
          <w:color w:val="auto"/>
        </w:rPr>
        <w:t>/s/ppa. Eva Waldmeier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SIREN GROUP AG, 8808 Pfäffikon and its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 in USD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38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31/12/2024</w:t>
            </w:r>
          </w:p>
        </w:tc>
        <w:tc>
          <w:tcPr>
            <w:tcW w:w="120" w:type="dxa"/>
            <w:vAlign w:val="bottom"/>
          </w:tcPr>
          <w:p>
            <w:pPr>
              <w:spacing w:after="0"/>
              <w:rPr>
                <w:sz w:val="20"/>
                <w:szCs w:val="20"/>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3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13,125,112</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accounts receivables</w:t>
            </w:r>
          </w:p>
        </w:tc>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5,464,605</w:t>
            </w: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short-term receivables</w:t>
            </w:r>
          </w:p>
        </w:tc>
        <w:tc>
          <w:tcPr>
            <w:tcW w:w="3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236,935</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 and accrued income</w:t>
            </w:r>
          </w:p>
        </w:tc>
        <w:tc>
          <w:tcPr>
            <w:tcW w:w="3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2,295,430</w:t>
            </w:r>
          </w:p>
        </w:tc>
        <w:tc>
          <w:tcPr>
            <w:tcW w:w="120" w:type="dxa"/>
            <w:vAlign w:val="bottom"/>
          </w:tcPr>
          <w:p>
            <w:pPr>
              <w:spacing w:after="0"/>
              <w:rPr>
                <w:sz w:val="18"/>
                <w:szCs w:val="18"/>
                <w:color w:val="auto"/>
              </w:rPr>
            </w:pPr>
          </w:p>
        </w:tc>
      </w:tr>
      <w:tr>
        <w:trPr>
          <w:trHeight w:val="209"/>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current assets</w:t>
            </w:r>
          </w:p>
        </w:tc>
        <w:tc>
          <w:tcPr>
            <w:tcW w:w="3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21,122,082</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receivables to shareholders</w:t>
            </w:r>
          </w:p>
        </w:tc>
        <w:tc>
          <w:tcPr>
            <w:tcW w:w="3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3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8,643,337</w:t>
            </w:r>
          </w:p>
        </w:tc>
        <w:tc>
          <w:tcPr>
            <w:tcW w:w="120" w:type="dxa"/>
            <w:vAlign w:val="bottom"/>
          </w:tcPr>
          <w:p>
            <w:pPr>
              <w:spacing w:after="0"/>
              <w:rPr>
                <w:sz w:val="18"/>
                <w:szCs w:val="18"/>
                <w:color w:val="auto"/>
              </w:rPr>
            </w:pPr>
          </w:p>
        </w:tc>
      </w:tr>
      <w:tr>
        <w:trPr>
          <w:trHeight w:val="209"/>
        </w:trPr>
        <w:tc>
          <w:tcPr>
            <w:tcW w:w="5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non-current assets</w:t>
            </w:r>
          </w:p>
        </w:tc>
        <w:tc>
          <w:tcPr>
            <w:tcW w:w="36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8,652,444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29,774,526</w:t>
            </w:r>
          </w:p>
        </w:tc>
        <w:tc>
          <w:tcPr>
            <w:tcW w:w="12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860" w:type="dxa"/>
            <w:vAlign w:val="bottom"/>
            <w:shd w:val="clear" w:color="auto" w:fill="CFF0FC"/>
          </w:tcPr>
          <w:p>
            <w:pPr>
              <w:spacing w:after="0"/>
              <w:rPr>
                <w:sz w:val="17"/>
                <w:szCs w:val="17"/>
                <w:color w:val="auto"/>
              </w:rPr>
            </w:pPr>
          </w:p>
        </w:tc>
        <w:tc>
          <w:tcPr>
            <w:tcW w:w="3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2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88"/>
              </w:rPr>
              <w:t>2</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18"/>
                <w:szCs w:val="18"/>
                <w:color w:val="auto"/>
              </w:rPr>
            </w:pPr>
          </w:p>
        </w:tc>
        <w:tc>
          <w:tcPr>
            <w:tcW w:w="3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accounts payable</w:t>
            </w:r>
          </w:p>
        </w:tc>
        <w:tc>
          <w:tcPr>
            <w:tcW w:w="3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2,036,975</w:t>
            </w: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short-term liabilities</w:t>
            </w:r>
          </w:p>
        </w:tc>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37,943</w:t>
            </w: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Short-term provisions for income tax</w:t>
            </w:r>
          </w:p>
        </w:tc>
        <w:tc>
          <w:tcPr>
            <w:tcW w:w="3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899,794</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 and deferred income</w:t>
            </w:r>
          </w:p>
        </w:tc>
        <w:tc>
          <w:tcPr>
            <w:tcW w:w="3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6,565,476</w:t>
            </w:r>
          </w:p>
        </w:tc>
        <w:tc>
          <w:tcPr>
            <w:tcW w:w="120" w:type="dxa"/>
            <w:vAlign w:val="bottom"/>
          </w:tcPr>
          <w:p>
            <w:pPr>
              <w:spacing w:after="0"/>
              <w:rPr>
                <w:sz w:val="18"/>
                <w:szCs w:val="18"/>
                <w:color w:val="auto"/>
              </w:rPr>
            </w:pPr>
          </w:p>
        </w:tc>
      </w:tr>
      <w:tr>
        <w:trPr>
          <w:trHeight w:val="210"/>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short-term liabilities</w:t>
            </w:r>
          </w:p>
        </w:tc>
        <w:tc>
          <w:tcPr>
            <w:tcW w:w="3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9,553,131</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long-term liabilities</w:t>
            </w:r>
          </w:p>
        </w:tc>
        <w:tc>
          <w:tcPr>
            <w:tcW w:w="3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10"/>
        </w:trPr>
        <w:tc>
          <w:tcPr>
            <w:tcW w:w="58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9,553,131</w:t>
            </w:r>
          </w:p>
        </w:tc>
        <w:tc>
          <w:tcPr>
            <w:tcW w:w="120" w:type="dxa"/>
            <w:vAlign w:val="bottom"/>
            <w:tcBorders>
              <w:top w:val="single" w:sz="8" w:color="CFF0FC"/>
            </w:tcBorders>
          </w:tcPr>
          <w:p>
            <w:pPr>
              <w:spacing w:after="0"/>
              <w:rPr>
                <w:sz w:val="18"/>
                <w:szCs w:val="18"/>
                <w:color w:val="auto"/>
              </w:rPr>
            </w:pPr>
          </w:p>
        </w:tc>
      </w:tr>
      <w:tr>
        <w:trPr>
          <w:trHeight w:val="210"/>
        </w:trPr>
        <w:tc>
          <w:tcPr>
            <w:tcW w:w="5860" w:type="dxa"/>
            <w:vAlign w:val="bottom"/>
            <w:shd w:val="clear" w:color="auto" w:fill="CFF0FC"/>
          </w:tcPr>
          <w:p>
            <w:pPr>
              <w:spacing w:after="0"/>
              <w:rPr>
                <w:sz w:val="18"/>
                <w:szCs w:val="18"/>
                <w:color w:val="auto"/>
              </w:rPr>
            </w:pPr>
          </w:p>
        </w:tc>
        <w:tc>
          <w:tcPr>
            <w:tcW w:w="3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capital</w:t>
            </w:r>
          </w:p>
        </w:tc>
        <w:tc>
          <w:tcPr>
            <w:tcW w:w="362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7"/>
              </w:rPr>
              <w:t>2.1</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104,330</w:t>
            </w: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Participation capital</w:t>
            </w:r>
          </w:p>
        </w:tc>
        <w:tc>
          <w:tcPr>
            <w:tcW w:w="3620" w:type="dxa"/>
            <w:vAlign w:val="bottom"/>
            <w:shd w:val="clear" w:color="auto" w:fill="CFF0FC"/>
          </w:tcPr>
          <w:p>
            <w:pPr>
              <w:jc w:val="center"/>
              <w:ind w:left="1950"/>
              <w:spacing w:after="0"/>
              <w:rPr>
                <w:sz w:val="20"/>
                <w:szCs w:val="20"/>
                <w:color w:val="auto"/>
              </w:rPr>
            </w:pPr>
            <w:r>
              <w:rPr>
                <w:rFonts w:ascii="Times New Roman" w:cs="Times New Roman" w:eastAsia="Times New Roman" w:hAnsi="Times New Roman"/>
                <w:sz w:val="18"/>
                <w:szCs w:val="18"/>
                <w:color w:val="auto"/>
                <w:w w:val="97"/>
              </w:rPr>
              <w:t>2.2</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30,470</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retained earnings</w:t>
            </w:r>
          </w:p>
        </w:tc>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67,019</w:t>
            </w: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Treasury shares</w:t>
            </w:r>
          </w:p>
        </w:tc>
        <w:tc>
          <w:tcPr>
            <w:tcW w:w="3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(3,025,973)</w:t>
            </w: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participation certificates</w:t>
            </w:r>
          </w:p>
        </w:tc>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(1,213,429)</w:t>
            </w: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Voluntary retained earnings</w:t>
            </w:r>
          </w:p>
        </w:tc>
        <w:tc>
          <w:tcPr>
            <w:tcW w:w="3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Result carried forward</w:t>
            </w:r>
          </w:p>
        </w:tc>
        <w:tc>
          <w:tcPr>
            <w:tcW w:w="3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8,434,329</w:t>
            </w: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Result current year</w:t>
            </w:r>
          </w:p>
        </w:tc>
        <w:tc>
          <w:tcPr>
            <w:tcW w:w="3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15,824,649</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6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20,221,395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50"/>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29,774,526</w:t>
            </w:r>
          </w:p>
        </w:tc>
        <w:tc>
          <w:tcPr>
            <w:tcW w:w="120" w:type="dxa"/>
            <w:vAlign w:val="bottom"/>
            <w:shd w:val="clear" w:color="auto" w:fill="CFF0FC"/>
          </w:tcPr>
          <w:p>
            <w:pPr>
              <w:spacing w:after="0"/>
              <w:rPr>
                <w:sz w:val="21"/>
                <w:szCs w:val="21"/>
                <w:color w:val="auto"/>
              </w:rPr>
            </w:pPr>
          </w:p>
        </w:tc>
      </w:tr>
      <w:tr>
        <w:trPr>
          <w:trHeight w:val="1203"/>
        </w:trPr>
        <w:tc>
          <w:tcPr>
            <w:tcW w:w="5860" w:type="dxa"/>
            <w:vAlign w:val="bottom"/>
            <w:tcBorders>
              <w:top w:val="single" w:sz="8" w:color="CFF0FC"/>
              <w:bottom w:val="single" w:sz="8" w:color="9A9A9A"/>
            </w:tcBorders>
          </w:tcPr>
          <w:p>
            <w:pPr>
              <w:spacing w:after="0"/>
              <w:rPr>
                <w:sz w:val="24"/>
                <w:szCs w:val="24"/>
                <w:color w:val="auto"/>
              </w:rPr>
            </w:pPr>
          </w:p>
        </w:tc>
        <w:tc>
          <w:tcPr>
            <w:tcW w:w="362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3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-4465320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-2776855</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-814070</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SIREN GROUP AG, 8808 Pfäffikon and its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 in USD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80" w:type="dxa"/>
            <w:vAlign w:val="bottom"/>
          </w:tcPr>
          <w:p>
            <w:pPr>
              <w:ind w:left="84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10"/>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 from services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114,380,961</w:t>
            </w:r>
          </w:p>
        </w:tc>
        <w:tc>
          <w:tcPr>
            <w:tcW w:w="120" w:type="dxa"/>
            <w:vAlign w:val="bottom"/>
            <w:shd w:val="clear" w:color="auto" w:fill="CFF0FC"/>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30,223</w:t>
            </w:r>
          </w:p>
        </w:tc>
        <w:tc>
          <w:tcPr>
            <w:tcW w:w="120" w:type="dxa"/>
            <w:vAlign w:val="bottom"/>
          </w:tcPr>
          <w:p>
            <w:pPr>
              <w:spacing w:after="0"/>
              <w:rPr>
                <w:sz w:val="18"/>
                <w:szCs w:val="18"/>
                <w:color w:val="auto"/>
              </w:rPr>
            </w:pPr>
          </w:p>
        </w:tc>
      </w:tr>
      <w:tr>
        <w:trPr>
          <w:trHeight w:val="209"/>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114,411,184</w:t>
            </w:r>
          </w:p>
        </w:tc>
        <w:tc>
          <w:tcPr>
            <w:tcW w:w="120" w:type="dxa"/>
            <w:vAlign w:val="bottom"/>
            <w:shd w:val="clear" w:color="auto" w:fill="CFF0FC"/>
          </w:tcPr>
          <w:p>
            <w:pPr>
              <w:spacing w:after="0"/>
              <w:rPr>
                <w:sz w:val="18"/>
                <w:szCs w:val="18"/>
                <w:color w:val="auto"/>
              </w:rPr>
            </w:pPr>
          </w:p>
        </w:tc>
      </w:tr>
      <w:tr>
        <w:trPr>
          <w:trHeight w:val="216"/>
        </w:trPr>
        <w:tc>
          <w:tcPr>
            <w:tcW w:w="9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services expense</w:t>
            </w: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(87,623,740)</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3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(5,250,949)</w:t>
            </w:r>
          </w:p>
        </w:tc>
      </w:tr>
      <w:tr>
        <w:trPr>
          <w:trHeight w:val="216"/>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(2,212,794)</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valuation adjustments on fixed assets</w:t>
            </w:r>
          </w:p>
        </w:tc>
        <w:tc>
          <w:tcPr>
            <w:tcW w:w="3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(1,456,133)</w:t>
            </w:r>
          </w:p>
        </w:tc>
      </w:tr>
      <w:tr>
        <w:trPr>
          <w:trHeight w:val="210"/>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result</w:t>
            </w:r>
          </w:p>
        </w:tc>
        <w:tc>
          <w:tcPr>
            <w:tcW w:w="36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17,867,568</w:t>
            </w:r>
          </w:p>
        </w:tc>
        <w:tc>
          <w:tcPr>
            <w:tcW w:w="120" w:type="dxa"/>
            <w:vAlign w:val="bottom"/>
            <w:shd w:val="clear" w:color="auto" w:fill="CFF0FC"/>
          </w:tcPr>
          <w:p>
            <w:pPr>
              <w:spacing w:after="0"/>
              <w:rPr>
                <w:sz w:val="18"/>
                <w:szCs w:val="18"/>
                <w:color w:val="auto"/>
              </w:rPr>
            </w:pPr>
          </w:p>
        </w:tc>
      </w:tr>
      <w:tr>
        <w:trPr>
          <w:trHeight w:val="216"/>
        </w:trPr>
        <w:tc>
          <w:tcPr>
            <w:tcW w:w="9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(483,620)</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810,074</w:t>
            </w:r>
          </w:p>
        </w:tc>
        <w:tc>
          <w:tcPr>
            <w:tcW w:w="120" w:type="dxa"/>
            <w:vAlign w:val="bottom"/>
          </w:tcPr>
          <w:p>
            <w:pPr>
              <w:spacing w:after="0"/>
              <w:rPr>
                <w:sz w:val="18"/>
                <w:szCs w:val="18"/>
                <w:color w:val="auto"/>
              </w:rPr>
            </w:pPr>
          </w:p>
        </w:tc>
      </w:tr>
      <w:tr>
        <w:trPr>
          <w:trHeight w:val="210"/>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Profit before taxes</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18,194,022</w:t>
            </w:r>
          </w:p>
        </w:tc>
        <w:tc>
          <w:tcPr>
            <w:tcW w:w="120" w:type="dxa"/>
            <w:vAlign w:val="bottom"/>
            <w:shd w:val="clear" w:color="auto" w:fill="CFF0FC"/>
          </w:tcPr>
          <w:p>
            <w:pPr>
              <w:spacing w:after="0"/>
              <w:rPr>
                <w:sz w:val="18"/>
                <w:szCs w:val="18"/>
                <w:color w:val="auto"/>
              </w:rPr>
            </w:pPr>
          </w:p>
        </w:tc>
      </w:tr>
      <w:tr>
        <w:trPr>
          <w:trHeight w:val="216"/>
        </w:trPr>
        <w:tc>
          <w:tcPr>
            <w:tcW w:w="9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taxes</w:t>
            </w: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(2,369,373)</w:t>
            </w:r>
          </w:p>
        </w:tc>
      </w:tr>
      <w:tr>
        <w:trPr>
          <w:trHeight w:val="209"/>
        </w:trPr>
        <w:tc>
          <w:tcPr>
            <w:tcW w:w="9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profit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15,824,649</w:t>
            </w:r>
          </w:p>
        </w:tc>
        <w:tc>
          <w:tcPr>
            <w:tcW w:w="120" w:type="dxa"/>
            <w:vAlign w:val="bottom"/>
            <w:tcBorders>
              <w:top w:val="single" w:sz="8" w:color="CFF0FC"/>
            </w:tcBorders>
          </w:tcPr>
          <w:p>
            <w:pPr>
              <w:spacing w:after="0"/>
              <w:rPr>
                <w:sz w:val="18"/>
                <w:szCs w:val="18"/>
                <w:color w:val="auto"/>
              </w:rPr>
            </w:pPr>
          </w:p>
        </w:tc>
      </w:tr>
      <w:tr>
        <w:trPr>
          <w:trHeight w:val="20"/>
        </w:trPr>
        <w:tc>
          <w:tcPr>
            <w:tcW w:w="9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3"/>
        </w:trPr>
        <w:tc>
          <w:tcPr>
            <w:tcW w:w="9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-959485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SIREN GROUP AG, 8808 Pfäffikon and its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 in USD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 for the year</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15,824,649</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valuation adjustments on fixed assets</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1,456,133</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trade accounts receivables</w:t>
            </w: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(907,890)</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other current receivables, accrued income and prepaid expenses</w:t>
            </w:r>
          </w:p>
        </w:tc>
        <w:tc>
          <w:tcPr>
            <w:tcW w:w="4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(1,477,671)</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trade accounts payables</w:t>
            </w: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(275,497)</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other short-term liabilities, deferred income and accrued expenses</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1,603,396</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non-cash income/expenses</w:t>
            </w: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09"/>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4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16,223,120</w:t>
            </w:r>
          </w:p>
        </w:tc>
        <w:tc>
          <w:tcPr>
            <w:tcW w:w="120" w:type="dxa"/>
            <w:vAlign w:val="bottom"/>
            <w:tcBorders>
              <w:top w:val="single" w:sz="8" w:color="CFF0FC"/>
            </w:tcBorders>
          </w:tcPr>
          <w:p>
            <w:pPr>
              <w:spacing w:after="0"/>
              <w:rPr>
                <w:sz w:val="18"/>
                <w:szCs w:val="18"/>
                <w:color w:val="auto"/>
              </w:rPr>
            </w:pPr>
          </w:p>
        </w:tc>
      </w:tr>
      <w:tr>
        <w:trPr>
          <w:trHeight w:val="216"/>
        </w:trPr>
        <w:tc>
          <w:tcPr>
            <w:tcW w:w="9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repayment of long-term receivables</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(6,724,613)</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investments</w:t>
            </w:r>
          </w:p>
        </w:tc>
        <w:tc>
          <w:tcPr>
            <w:tcW w:w="4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 from sale of investments</w:t>
            </w:r>
          </w:p>
        </w:tc>
        <w:tc>
          <w:tcPr>
            <w:tcW w:w="4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4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(6,706,695)</w:t>
            </w:r>
          </w:p>
        </w:tc>
      </w:tr>
      <w:tr>
        <w:trPr>
          <w:trHeight w:val="216"/>
        </w:trPr>
        <w:tc>
          <w:tcPr>
            <w:tcW w:w="9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profits to shareholders (dividends)</w:t>
            </w:r>
          </w:p>
        </w:tc>
        <w:tc>
          <w:tcPr>
            <w:tcW w:w="4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(14,492,754)</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treasury shares and participation certificates</w:t>
            </w: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treasury shares and treasury participation certificates</w:t>
            </w: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58,570</w:t>
            </w:r>
          </w:p>
        </w:tc>
        <w:tc>
          <w:tcPr>
            <w:tcW w:w="120" w:type="dxa"/>
            <w:vAlign w:val="bottom"/>
          </w:tcPr>
          <w:p>
            <w:pPr>
              <w:spacing w:after="0"/>
              <w:rPr>
                <w:sz w:val="18"/>
                <w:szCs w:val="18"/>
                <w:color w:val="auto"/>
              </w:rPr>
            </w:pP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(14,434,184)</w:t>
            </w:r>
          </w:p>
        </w:tc>
      </w:tr>
      <w:tr>
        <w:trPr>
          <w:trHeight w:val="216"/>
        </w:trPr>
        <w:tc>
          <w:tcPr>
            <w:tcW w:w="9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cash and cash equivalents</w:t>
            </w:r>
          </w:p>
        </w:tc>
        <w:tc>
          <w:tcPr>
            <w:tcW w:w="4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(4,917,759)</w:t>
            </w:r>
          </w:p>
        </w:tc>
      </w:tr>
      <w:tr>
        <w:trPr>
          <w:trHeight w:val="216"/>
        </w:trPr>
        <w:tc>
          <w:tcPr>
            <w:tcW w:w="9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financial year</w:t>
            </w: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18,042,871</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differences on cash</w:t>
            </w:r>
          </w:p>
        </w:tc>
        <w:tc>
          <w:tcPr>
            <w:tcW w:w="4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13,125,112</w:t>
            </w:r>
          </w:p>
        </w:tc>
        <w:tc>
          <w:tcPr>
            <w:tcW w:w="120" w:type="dxa"/>
            <w:vAlign w:val="bottom"/>
            <w:shd w:val="clear" w:color="auto" w:fill="CFF0FC"/>
          </w:tcPr>
          <w:p>
            <w:pPr>
              <w:spacing w:after="0"/>
              <w:rPr>
                <w:sz w:val="18"/>
                <w:szCs w:val="18"/>
                <w:color w:val="auto"/>
              </w:rPr>
            </w:pPr>
          </w:p>
        </w:tc>
      </w:tr>
      <w:tr>
        <w:trPr>
          <w:trHeight w:val="238"/>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cash and cash equivalents</w:t>
            </w:r>
          </w:p>
        </w:tc>
        <w:tc>
          <w:tcPr>
            <w:tcW w:w="420" w:type="dxa"/>
            <w:vAlign w:val="bottom"/>
          </w:tcPr>
          <w:p>
            <w:pPr>
              <w:spacing w:after="0"/>
              <w:rPr>
                <w:sz w:val="20"/>
                <w:szCs w:val="20"/>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(4,917,759)</w:t>
            </w:r>
          </w:p>
        </w:tc>
      </w:tr>
      <w:tr>
        <w:trPr>
          <w:trHeight w:val="1200"/>
        </w:trPr>
        <w:tc>
          <w:tcPr>
            <w:tcW w:w="9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-3419475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-2588260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SIREN GROUP AG, 8808 Pfäffikon and its subsidiary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Principles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General aspects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Siren Group AG was founded on the 23rd August 2016 (entry in the register of commerce). These consolidated financial statements were prepared according to the provision of the Swiss Law. The accompanying financial statements are presented on a consolidated basis including the accounts of Siren Group AG and its subsidiary, Siren Group USA, Inc. (together "the Company"). Where not prescribed by law, the significant accounting and valuation principles applied are described below. It should be noted that to ensure the company's going concern, the Company's financial statements may be influenced by the creation and release of hidden reserves. All material intercompany balances, transactions, income, and expenses have been eliminated in consolidation. The consolidated financial statements have been prepared in accordance with Swiss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Accounting and financial reporting in functional currency (USD)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and financial reporting are kept in US Dollar, which is defined as the business significant currency (functional currency).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Accounting policy disclosures</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Going concern: the financial statements have been prepared on a going concern basis, as the Board of Directors has no intention or necessity to liquidate the Company or to curtail materially the scale of its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Use of estimates: the preparation of financial statements in conformity with Swiss Law requires management to make estimates and assumptions that affect the reported amounts of assets, liabilities, income and expenses. Actual results may differ from these estimates.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Intangible assets: intangible assets are recognised at cost of development less accumulated amortisation and impairment losses. They are amortised on a straight-line basis over their estimated useful life of 5 years.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Trade accounts receivables: Trade accounts receivable are stated at nominal value less allowances for doubtful accounts. Allowances are established based on an assessment of the creditworthiness of customers and the ageing of receivables.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recognition: revenue is recognized in accordance with Swiss Law when it is probable that economic benefits will flow to the Company and the amount of revenue can be reliably measured. Revenue is recognised either when the lead is generated or for some customers, when the appointment is generated (i.e. when the Company call center books the appointment). A small number of contractors are on revenue share agreements - revenue is recognised as a % of the final sale price. This revenue is accrued monthly based on an estimate and trued up post month end using disposition reports received from the contractors at the start of the following month. Revenue associated with these agreements is minimal.</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Treasury shares: Treasury shares are recognized as a deduction from equity at acquisition cost. Treasury shares do not carry voting rights and are not entitled to dividends. Should treasury shares be used for share-based payment programs, the difference between the fair value and any consideration paid by the recipient at the time of grant is recognised as personnel expenses.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Treasury participation certificates: Treasury participation certificates are accounted for analogously to treasury shares and are recognized as a reduction of equity at acquisition cost. Treasury participation certificates held by the Company do not carry dividend or voting rights. Should treasury participation certificates be used for share-based payment programs, the difference between the fair value and any consideration paid by the recipient at the time of grant is recognised as personnel expenses.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leasing and rental contracts are recognized based on legal ownership. Therefore, any leasing or rental expenses are recognized as expenses in the period they are incurred; however, the leased or rented objects themselves are not recognized in the balance sheet.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Pension: the Company records its contribution to the pension plan in personnel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Information on consolidated balance sheet and income statement items</w:t>
            </w:r>
          </w:p>
        </w:tc>
        <w:tc>
          <w:tcPr>
            <w:tcW w:w="3440" w:type="dxa"/>
            <w:vAlign w:val="bottom"/>
          </w:tcPr>
          <w:p>
            <w:pPr>
              <w:spacing w:after="0"/>
              <w:rPr>
                <w:sz w:val="20"/>
                <w:szCs w:val="20"/>
                <w:color w:val="auto"/>
              </w:rPr>
            </w:pPr>
          </w:p>
        </w:tc>
      </w:tr>
      <w:tr>
        <w:trPr>
          <w:trHeight w:val="405"/>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2.1 Share capital</w:t>
            </w:r>
          </w:p>
        </w:tc>
        <w:tc>
          <w:tcPr>
            <w:tcW w:w="3440" w:type="dxa"/>
            <w:vAlign w:val="bottom"/>
          </w:tcPr>
          <w:p>
            <w:pPr>
              <w:spacing w:after="0"/>
              <w:rPr>
                <w:sz w:val="24"/>
                <w:szCs w:val="24"/>
                <w:color w:val="auto"/>
              </w:rPr>
            </w:pPr>
          </w:p>
        </w:tc>
      </w:tr>
      <w:tr>
        <w:trPr>
          <w:trHeight w:val="392"/>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Consisting of 102,109 shares at nominal CHF 1.-.</w:t>
            </w:r>
          </w:p>
        </w:tc>
        <w:tc>
          <w:tcPr>
            <w:tcW w:w="3440" w:type="dxa"/>
            <w:vAlign w:val="bottom"/>
          </w:tcPr>
          <w:p>
            <w:pPr>
              <w:spacing w:after="0"/>
              <w:rPr>
                <w:sz w:val="24"/>
                <w:szCs w:val="24"/>
                <w:color w:val="auto"/>
              </w:rPr>
            </w:pPr>
          </w:p>
        </w:tc>
      </w:tr>
      <w:tr>
        <w:trPr>
          <w:trHeight w:val="432"/>
        </w:trPr>
        <w:tc>
          <w:tcPr>
            <w:tcW w:w="7800" w:type="dxa"/>
            <w:vAlign w:val="bottom"/>
          </w:tcPr>
          <w:p>
            <w:pPr>
              <w:spacing w:after="0"/>
              <w:rPr>
                <w:sz w:val="24"/>
                <w:szCs w:val="24"/>
                <w:color w:val="auto"/>
              </w:rPr>
            </w:pPr>
          </w:p>
        </w:tc>
        <w:tc>
          <w:tcPr>
            <w:tcW w:w="34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Shares at the beginning of the year</w:t>
            </w:r>
          </w:p>
        </w:tc>
        <w:tc>
          <w:tcPr>
            <w:tcW w:w="3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6,768</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3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 of Treasury Shares</w:t>
            </w:r>
          </w:p>
        </w:tc>
        <w:tc>
          <w:tcPr>
            <w:tcW w:w="3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 at the end of the year</w:t>
            </w:r>
          </w:p>
        </w:tc>
        <w:tc>
          <w:tcPr>
            <w:tcW w:w="3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6,768</w:t>
            </w:r>
          </w:p>
        </w:tc>
      </w:tr>
      <w:tr>
        <w:trPr>
          <w:trHeight w:val="41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2.2 Participation capital</w:t>
            </w:r>
          </w:p>
        </w:tc>
        <w:tc>
          <w:tcPr>
            <w:tcW w:w="3440" w:type="dxa"/>
            <w:vAlign w:val="bottom"/>
          </w:tcPr>
          <w:p>
            <w:pPr>
              <w:spacing w:after="0"/>
              <w:rPr>
                <w:sz w:val="24"/>
                <w:szCs w:val="24"/>
                <w:color w:val="auto"/>
              </w:rPr>
            </w:pPr>
          </w:p>
        </w:tc>
      </w:tr>
      <w:tr>
        <w:trPr>
          <w:trHeight w:val="391"/>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Consisting of 29,870 shares at nominal CHF 1.-.</w:t>
            </w:r>
          </w:p>
        </w:tc>
        <w:tc>
          <w:tcPr>
            <w:tcW w:w="3440" w:type="dxa"/>
            <w:vAlign w:val="bottom"/>
          </w:tcPr>
          <w:p>
            <w:pPr>
              <w:spacing w:after="0"/>
              <w:rPr>
                <w:sz w:val="24"/>
                <w:szCs w:val="24"/>
                <w:color w:val="auto"/>
              </w:rPr>
            </w:pPr>
          </w:p>
        </w:tc>
      </w:tr>
      <w:tr>
        <w:trPr>
          <w:trHeight w:val="432"/>
        </w:trPr>
        <w:tc>
          <w:tcPr>
            <w:tcW w:w="7800" w:type="dxa"/>
            <w:vAlign w:val="bottom"/>
          </w:tcPr>
          <w:p>
            <w:pPr>
              <w:spacing w:after="0"/>
              <w:rPr>
                <w:sz w:val="24"/>
                <w:szCs w:val="24"/>
                <w:color w:val="auto"/>
              </w:rPr>
            </w:pPr>
          </w:p>
        </w:tc>
        <w:tc>
          <w:tcPr>
            <w:tcW w:w="34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Participation certificates at the beginning of the year</w:t>
            </w:r>
          </w:p>
        </w:tc>
        <w:tc>
          <w:tcPr>
            <w:tcW w:w="3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2,845</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Treasury Participation certificates</w:t>
            </w:r>
          </w:p>
        </w:tc>
        <w:tc>
          <w:tcPr>
            <w:tcW w:w="3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 of Treasury Participation certificates</w:t>
            </w:r>
          </w:p>
        </w:tc>
        <w:tc>
          <w:tcPr>
            <w:tcW w:w="3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Treasury Participation certificates at the end of the year</w:t>
            </w:r>
          </w:p>
        </w:tc>
        <w:tc>
          <w:tcPr>
            <w:tcW w:w="3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2,714</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Cash used to pledge own liabilities, as well as retention of title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of USD 257,100 is pledged (prior year USD 257,100)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Stock Options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2023, the Company Board resolved to issue a Stock Option Plan with the purpose of attracting and retaining selected individuals to serve as officers, employees, directors, consultants, and to encourage them to promote the sustainable success of the business of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472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at the beginning of the year</w:t>
            </w:r>
          </w:p>
        </w:tc>
        <w:tc>
          <w:tcPr>
            <w:tcW w:w="4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Grants</w:t>
            </w:r>
          </w:p>
        </w:tc>
        <w:tc>
          <w:tcPr>
            <w:tcW w:w="4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Stock Options</w:t>
            </w:r>
          </w:p>
        </w:tc>
        <w:tc>
          <w:tcPr>
            <w:tcW w:w="4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at the end of the year</w:t>
            </w:r>
          </w:p>
        </w:tc>
        <w:tc>
          <w:tcPr>
            <w:tcW w:w="4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Other disclosures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Related party transactions: other than routine current account transactions with the Company's principal shareholders, no related party transactions were entered into during the reporting period.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 as of the balance sheet date, the Company is not aware of any off-balance-sheet commitments or contingencies.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events: Subsequent to the reporting date, on 1 December 2025, the Company entered into an agreement for the sale of its shares to QuinStreet, a corporation listed on a U.S.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SIREN GROUP AG, 8808 Pfäffikon and its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Consolidated Balance Sheet in USD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39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9/30/2025</w:t>
            </w:r>
          </w:p>
        </w:tc>
        <w:tc>
          <w:tcPr>
            <w:tcW w:w="120" w:type="dxa"/>
            <w:vAlign w:val="bottom"/>
          </w:tcPr>
          <w:p>
            <w:pPr>
              <w:spacing w:after="0"/>
              <w:rPr>
                <w:sz w:val="20"/>
                <w:szCs w:val="20"/>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3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11,138,290</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accounts receivables</w:t>
            </w: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6,700,163</w:t>
            </w: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short-term receivables</w:t>
            </w:r>
          </w:p>
        </w:tc>
        <w:tc>
          <w:tcPr>
            <w:tcW w:w="3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713,304</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 and accrued income</w:t>
            </w:r>
          </w:p>
        </w:tc>
        <w:tc>
          <w:tcPr>
            <w:tcW w:w="3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2,199,872</w:t>
            </w:r>
          </w:p>
        </w:tc>
        <w:tc>
          <w:tcPr>
            <w:tcW w:w="120" w:type="dxa"/>
            <w:vAlign w:val="bottom"/>
          </w:tcPr>
          <w:p>
            <w:pPr>
              <w:spacing w:after="0"/>
              <w:rPr>
                <w:sz w:val="18"/>
                <w:szCs w:val="18"/>
                <w:color w:val="auto"/>
              </w:rPr>
            </w:pPr>
          </w:p>
        </w:tc>
      </w:tr>
      <w:tr>
        <w:trPr>
          <w:trHeight w:val="209"/>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current assets</w:t>
            </w:r>
          </w:p>
        </w:tc>
        <w:tc>
          <w:tcPr>
            <w:tcW w:w="3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20,751,629</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receivables to shareholders</w:t>
            </w:r>
          </w:p>
        </w:tc>
        <w:tc>
          <w:tcPr>
            <w:tcW w:w="3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3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11,780,411</w:t>
            </w:r>
          </w:p>
        </w:tc>
        <w:tc>
          <w:tcPr>
            <w:tcW w:w="120" w:type="dxa"/>
            <w:vAlign w:val="bottom"/>
          </w:tcPr>
          <w:p>
            <w:pPr>
              <w:spacing w:after="0"/>
              <w:rPr>
                <w:sz w:val="18"/>
                <w:szCs w:val="18"/>
                <w:color w:val="auto"/>
              </w:rPr>
            </w:pPr>
          </w:p>
        </w:tc>
      </w:tr>
      <w:tr>
        <w:trPr>
          <w:trHeight w:val="209"/>
        </w:trPr>
        <w:tc>
          <w:tcPr>
            <w:tcW w:w="5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non-current assets</w:t>
            </w:r>
          </w:p>
        </w:tc>
        <w:tc>
          <w:tcPr>
            <w:tcW w:w="3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11,780,411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32,532,040</w:t>
            </w:r>
          </w:p>
        </w:tc>
        <w:tc>
          <w:tcPr>
            <w:tcW w:w="12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860" w:type="dxa"/>
            <w:vAlign w:val="bottom"/>
            <w:shd w:val="clear" w:color="auto" w:fill="CFF0FC"/>
          </w:tcPr>
          <w:p>
            <w:pPr>
              <w:spacing w:after="0"/>
              <w:rPr>
                <w:sz w:val="17"/>
                <w:szCs w:val="17"/>
                <w:color w:val="auto"/>
              </w:rPr>
            </w:pPr>
          </w:p>
        </w:tc>
        <w:tc>
          <w:tcPr>
            <w:tcW w:w="3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2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18"/>
                <w:szCs w:val="18"/>
                <w:color w:val="auto"/>
              </w:rPr>
            </w:pPr>
          </w:p>
        </w:tc>
        <w:tc>
          <w:tcPr>
            <w:tcW w:w="3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accounts payable</w:t>
            </w:r>
          </w:p>
        </w:tc>
        <w:tc>
          <w:tcPr>
            <w:tcW w:w="3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4,462,655</w:t>
            </w: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240,674</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short-term liabilities</w:t>
            </w: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Short-term provisions for income tax</w:t>
            </w:r>
          </w:p>
        </w:tc>
        <w:tc>
          <w:tcPr>
            <w:tcW w:w="3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1,875,394</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 and deferred income</w:t>
            </w:r>
          </w:p>
        </w:tc>
        <w:tc>
          <w:tcPr>
            <w:tcW w:w="3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9,156,632</w:t>
            </w:r>
          </w:p>
        </w:tc>
        <w:tc>
          <w:tcPr>
            <w:tcW w:w="120" w:type="dxa"/>
            <w:vAlign w:val="bottom"/>
          </w:tcPr>
          <w:p>
            <w:pPr>
              <w:spacing w:after="0"/>
              <w:rPr>
                <w:sz w:val="18"/>
                <w:szCs w:val="18"/>
                <w:color w:val="auto"/>
              </w:rPr>
            </w:pPr>
          </w:p>
        </w:tc>
      </w:tr>
      <w:tr>
        <w:trPr>
          <w:trHeight w:val="210"/>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short-term liabilities</w:t>
            </w:r>
          </w:p>
        </w:tc>
        <w:tc>
          <w:tcPr>
            <w:tcW w:w="3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15,735,355</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long-term liabilities</w:t>
            </w:r>
          </w:p>
        </w:tc>
        <w:tc>
          <w:tcPr>
            <w:tcW w:w="3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10"/>
        </w:trPr>
        <w:tc>
          <w:tcPr>
            <w:tcW w:w="58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15,735,355</w:t>
            </w:r>
          </w:p>
        </w:tc>
        <w:tc>
          <w:tcPr>
            <w:tcW w:w="120" w:type="dxa"/>
            <w:vAlign w:val="bottom"/>
            <w:tcBorders>
              <w:top w:val="single" w:sz="8" w:color="CFF0FC"/>
            </w:tcBorders>
          </w:tcPr>
          <w:p>
            <w:pPr>
              <w:spacing w:after="0"/>
              <w:rPr>
                <w:sz w:val="18"/>
                <w:szCs w:val="18"/>
                <w:color w:val="auto"/>
              </w:rPr>
            </w:pPr>
          </w:p>
        </w:tc>
      </w:tr>
      <w:tr>
        <w:trPr>
          <w:trHeight w:val="210"/>
        </w:trPr>
        <w:tc>
          <w:tcPr>
            <w:tcW w:w="5860" w:type="dxa"/>
            <w:vAlign w:val="bottom"/>
            <w:shd w:val="clear" w:color="auto" w:fill="CFF0FC"/>
          </w:tcPr>
          <w:p>
            <w:pPr>
              <w:spacing w:after="0"/>
              <w:rPr>
                <w:sz w:val="18"/>
                <w:szCs w:val="18"/>
                <w:color w:val="auto"/>
              </w:rPr>
            </w:pPr>
          </w:p>
        </w:tc>
        <w:tc>
          <w:tcPr>
            <w:tcW w:w="3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capital</w:t>
            </w:r>
          </w:p>
        </w:tc>
        <w:tc>
          <w:tcPr>
            <w:tcW w:w="362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7"/>
              </w:rPr>
              <w:t>2.1</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104,330</w:t>
            </w: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Participation capital</w:t>
            </w:r>
          </w:p>
        </w:tc>
        <w:tc>
          <w:tcPr>
            <w:tcW w:w="3620" w:type="dxa"/>
            <w:vAlign w:val="bottom"/>
            <w:shd w:val="clear" w:color="auto" w:fill="CFF0FC"/>
          </w:tcPr>
          <w:p>
            <w:pPr>
              <w:jc w:val="center"/>
              <w:ind w:left="1950"/>
              <w:spacing w:after="0"/>
              <w:rPr>
                <w:sz w:val="20"/>
                <w:szCs w:val="20"/>
                <w:color w:val="auto"/>
              </w:rPr>
            </w:pPr>
            <w:r>
              <w:rPr>
                <w:rFonts w:ascii="Times New Roman" w:cs="Times New Roman" w:eastAsia="Times New Roman" w:hAnsi="Times New Roman"/>
                <w:sz w:val="18"/>
                <w:szCs w:val="18"/>
                <w:color w:val="auto"/>
                <w:w w:val="97"/>
              </w:rPr>
              <w:t>2.2</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30,470</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retained earnings</w:t>
            </w: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67,019</w:t>
            </w: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Treasury shares</w:t>
            </w:r>
          </w:p>
        </w:tc>
        <w:tc>
          <w:tcPr>
            <w:tcW w:w="3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(2,667,331)</w:t>
            </w: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participation certificates</w:t>
            </w: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(1,213,429)</w:t>
            </w:r>
          </w:p>
        </w:tc>
      </w:tr>
      <w:tr>
        <w:trPr>
          <w:trHeight w:val="216"/>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Voluntary retained earnings</w:t>
            </w:r>
          </w:p>
        </w:tc>
        <w:tc>
          <w:tcPr>
            <w:tcW w:w="3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Result carried forward</w:t>
            </w: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6,623,275</w:t>
            </w:r>
          </w:p>
        </w:tc>
        <w:tc>
          <w:tcPr>
            <w:tcW w:w="120" w:type="dxa"/>
            <w:vAlign w:val="bottom"/>
          </w:tcPr>
          <w:p>
            <w:pPr>
              <w:spacing w:after="0"/>
              <w:rPr>
                <w:sz w:val="18"/>
                <w:szCs w:val="18"/>
                <w:color w:val="auto"/>
              </w:rPr>
            </w:pPr>
          </w:p>
        </w:tc>
      </w:tr>
      <w:tr>
        <w:trPr>
          <w:trHeight w:val="216"/>
        </w:trPr>
        <w:tc>
          <w:tcPr>
            <w:tcW w:w="5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profit for the period</w:t>
            </w:r>
          </w:p>
        </w:tc>
        <w:tc>
          <w:tcPr>
            <w:tcW w:w="3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13,852,351</w:t>
            </w:r>
          </w:p>
        </w:tc>
        <w:tc>
          <w:tcPr>
            <w:tcW w:w="12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16,796,685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49"/>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32,532,040</w:t>
            </w:r>
          </w:p>
        </w:tc>
        <w:tc>
          <w:tcPr>
            <w:tcW w:w="120" w:type="dxa"/>
            <w:vAlign w:val="bottom"/>
            <w:shd w:val="clear" w:color="auto" w:fill="CFF0FC"/>
          </w:tcPr>
          <w:p>
            <w:pPr>
              <w:spacing w:after="0"/>
              <w:rPr>
                <w:sz w:val="21"/>
                <w:szCs w:val="21"/>
                <w:color w:val="auto"/>
              </w:rPr>
            </w:pPr>
          </w:p>
        </w:tc>
      </w:tr>
      <w:tr>
        <w:trPr>
          <w:trHeight w:val="1203"/>
        </w:trPr>
        <w:tc>
          <w:tcPr>
            <w:tcW w:w="5860" w:type="dxa"/>
            <w:vAlign w:val="bottom"/>
            <w:tcBorders>
              <w:top w:val="single" w:sz="8" w:color="CFF0FC"/>
              <w:bottom w:val="single" w:sz="8" w:color="9A9A9A"/>
            </w:tcBorders>
          </w:tcPr>
          <w:p>
            <w:pPr>
              <w:spacing w:after="0"/>
              <w:rPr>
                <w:sz w:val="24"/>
                <w:szCs w:val="24"/>
                <w:color w:val="auto"/>
              </w:rPr>
            </w:pPr>
          </w:p>
        </w:tc>
        <w:tc>
          <w:tcPr>
            <w:tcW w:w="362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13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-4465320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-2776855</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-814070</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SIREN GROUP AG, 8808 Pfäffikon and its subsidiary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Interim Consolidated Income Statement in USD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9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period ended</w:t>
            </w:r>
          </w:p>
        </w:tc>
      </w:tr>
      <w:tr>
        <w:trPr>
          <w:trHeight w:val="216"/>
        </w:trPr>
        <w:tc>
          <w:tcPr>
            <w:tcW w:w="9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9480" w:type="dxa"/>
            <w:vAlign w:val="bottom"/>
          </w:tcPr>
          <w:p>
            <w:pPr>
              <w:ind w:left="84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8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r>
      <w:tr>
        <w:trPr>
          <w:trHeight w:val="216"/>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 from services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112,487,532</w:t>
            </w:r>
          </w:p>
        </w:tc>
        <w:tc>
          <w:tcPr>
            <w:tcW w:w="120" w:type="dxa"/>
            <w:vAlign w:val="bottom"/>
            <w:shd w:val="clear" w:color="auto" w:fill="CFF0FC"/>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18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112,487,532</w:t>
            </w:r>
          </w:p>
        </w:tc>
        <w:tc>
          <w:tcPr>
            <w:tcW w:w="120" w:type="dxa"/>
            <w:vAlign w:val="bottom"/>
            <w:shd w:val="clear" w:color="auto" w:fill="CFF0FC"/>
          </w:tcPr>
          <w:p>
            <w:pPr>
              <w:spacing w:after="0"/>
              <w:rPr>
                <w:sz w:val="18"/>
                <w:szCs w:val="18"/>
                <w:color w:val="auto"/>
              </w:rPr>
            </w:pPr>
          </w:p>
        </w:tc>
      </w:tr>
      <w:tr>
        <w:trPr>
          <w:trHeight w:val="216"/>
        </w:trPr>
        <w:tc>
          <w:tcPr>
            <w:tcW w:w="9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services expense</w:t>
            </w: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(84,408,989)</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(6,267,865)</w:t>
            </w:r>
          </w:p>
        </w:tc>
      </w:tr>
      <w:tr>
        <w:trPr>
          <w:trHeight w:val="216"/>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(3,939,199)</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valuation adjustments on fixed assets</w:t>
            </w:r>
          </w:p>
        </w:tc>
        <w:tc>
          <w:tcPr>
            <w:tcW w:w="1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(2,008,791)</w:t>
            </w:r>
          </w:p>
        </w:tc>
      </w:tr>
      <w:tr>
        <w:trPr>
          <w:trHeight w:val="209"/>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result</w:t>
            </w:r>
          </w:p>
        </w:tc>
        <w:tc>
          <w:tcPr>
            <w:tcW w:w="18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15,862,688</w:t>
            </w:r>
          </w:p>
        </w:tc>
        <w:tc>
          <w:tcPr>
            <w:tcW w:w="120" w:type="dxa"/>
            <w:vAlign w:val="bottom"/>
            <w:shd w:val="clear" w:color="auto" w:fill="CFF0FC"/>
          </w:tcPr>
          <w:p>
            <w:pPr>
              <w:spacing w:after="0"/>
              <w:rPr>
                <w:sz w:val="18"/>
                <w:szCs w:val="18"/>
                <w:color w:val="auto"/>
              </w:rPr>
            </w:pPr>
          </w:p>
        </w:tc>
      </w:tr>
      <w:tr>
        <w:trPr>
          <w:trHeight w:val="216"/>
        </w:trPr>
        <w:tc>
          <w:tcPr>
            <w:tcW w:w="9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(263,670)</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531,308</w:t>
            </w:r>
          </w:p>
        </w:tc>
        <w:tc>
          <w:tcPr>
            <w:tcW w:w="120" w:type="dxa"/>
            <w:vAlign w:val="bottom"/>
          </w:tcPr>
          <w:p>
            <w:pPr>
              <w:spacing w:after="0"/>
              <w:rPr>
                <w:sz w:val="18"/>
                <w:szCs w:val="18"/>
                <w:color w:val="auto"/>
              </w:rPr>
            </w:pPr>
          </w:p>
        </w:tc>
      </w:tr>
      <w:tr>
        <w:trPr>
          <w:trHeight w:val="209"/>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Profit before taxes</w:t>
            </w: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16,130,326</w:t>
            </w:r>
          </w:p>
        </w:tc>
        <w:tc>
          <w:tcPr>
            <w:tcW w:w="120" w:type="dxa"/>
            <w:vAlign w:val="bottom"/>
            <w:shd w:val="clear" w:color="auto" w:fill="CFF0FC"/>
          </w:tcPr>
          <w:p>
            <w:pPr>
              <w:spacing w:after="0"/>
              <w:rPr>
                <w:sz w:val="18"/>
                <w:szCs w:val="18"/>
                <w:color w:val="auto"/>
              </w:rPr>
            </w:pPr>
          </w:p>
        </w:tc>
      </w:tr>
      <w:tr>
        <w:trPr>
          <w:trHeight w:val="216"/>
        </w:trPr>
        <w:tc>
          <w:tcPr>
            <w:tcW w:w="9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taxes</w:t>
            </w:r>
          </w:p>
        </w:tc>
        <w:tc>
          <w:tcPr>
            <w:tcW w:w="18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(2,277,975)</w:t>
            </w:r>
          </w:p>
        </w:tc>
      </w:tr>
      <w:tr>
        <w:trPr>
          <w:trHeight w:val="210"/>
        </w:trPr>
        <w:tc>
          <w:tcPr>
            <w:tcW w:w="9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profit for the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13,852,351</w:t>
            </w:r>
          </w:p>
        </w:tc>
        <w:tc>
          <w:tcPr>
            <w:tcW w:w="120" w:type="dxa"/>
            <w:vAlign w:val="bottom"/>
            <w:tcBorders>
              <w:top w:val="single" w:sz="8" w:color="CFF0FC"/>
            </w:tcBorders>
          </w:tcPr>
          <w:p>
            <w:pPr>
              <w:spacing w:after="0"/>
              <w:rPr>
                <w:sz w:val="18"/>
                <w:szCs w:val="18"/>
                <w:color w:val="auto"/>
              </w:rPr>
            </w:pP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2"/>
        </w:trPr>
        <w:tc>
          <w:tcPr>
            <w:tcW w:w="9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-959485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9240" w:type="dxa"/>
            <w:vAlign w:val="bottom"/>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w w:val="99"/>
              </w:rPr>
              <w:t>SIREN GROUP AG, 8808 Pfäffikon and its subsidiary</w:t>
            </w: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Interim Consolidated Statement of Cash Flow in USD</w:t>
            </w: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924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0"/>
        </w:trPr>
        <w:tc>
          <w:tcPr>
            <w:tcW w:w="9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9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period ended</w:t>
            </w:r>
          </w:p>
        </w:tc>
      </w:tr>
      <w:tr>
        <w:trPr>
          <w:trHeight w:val="216"/>
        </w:trPr>
        <w:tc>
          <w:tcPr>
            <w:tcW w:w="9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9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profit for the period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13,852,351</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valuation adjustments on fixed assets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2,008,791</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trade accounts receivables</w:t>
            </w: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(1,235,558)</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other current receivables, accrued income and prepaid expenses</w:t>
            </w:r>
          </w:p>
        </w:tc>
        <w:tc>
          <w:tcPr>
            <w:tcW w:w="2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(381,005)</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trade accounts payables</w:t>
            </w: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2,425,680</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other short-term liabilities, deferred income and accrued expenses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3,765,845</w:t>
            </w:r>
          </w:p>
        </w:tc>
        <w:tc>
          <w:tcPr>
            <w:tcW w:w="12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non-cash income/expenses</w:t>
            </w: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158,347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20,594,451</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repayment of long-term receivables</w:t>
            </w:r>
          </w:p>
        </w:tc>
        <w:tc>
          <w:tcPr>
            <w:tcW w:w="24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(5,145,865)</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investments</w:t>
            </w:r>
          </w:p>
        </w:tc>
        <w:tc>
          <w:tcPr>
            <w:tcW w:w="24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 from sale of investments</w:t>
            </w:r>
          </w:p>
        </w:tc>
        <w:tc>
          <w:tcPr>
            <w:tcW w:w="2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2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(5,145,865)</w:t>
            </w:r>
          </w:p>
        </w:tc>
      </w:tr>
      <w:tr>
        <w:trPr>
          <w:trHeight w:val="216"/>
        </w:trPr>
        <w:tc>
          <w:tcPr>
            <w:tcW w:w="9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profits to shareholders (dividends)</w:t>
            </w:r>
          </w:p>
        </w:tc>
        <w:tc>
          <w:tcPr>
            <w:tcW w:w="2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(17,635,703)</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treasury shares and participation certificates</w:t>
            </w: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(82,496)</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treasury shares and treasury participation certificates</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282,791</w:t>
            </w:r>
          </w:p>
        </w:tc>
        <w:tc>
          <w:tcPr>
            <w:tcW w:w="120" w:type="dxa"/>
            <w:vAlign w:val="bottom"/>
          </w:tcPr>
          <w:p>
            <w:pPr>
              <w:spacing w:after="0"/>
              <w:rPr>
                <w:sz w:val="18"/>
                <w:szCs w:val="18"/>
                <w:color w:val="auto"/>
              </w:rPr>
            </w:pP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(17,435,408)</w:t>
            </w:r>
          </w:p>
        </w:tc>
      </w:tr>
      <w:tr>
        <w:trPr>
          <w:trHeight w:val="216"/>
        </w:trPr>
        <w:tc>
          <w:tcPr>
            <w:tcW w:w="9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cash and cash equivalents</w:t>
            </w:r>
          </w:p>
        </w:tc>
        <w:tc>
          <w:tcPr>
            <w:tcW w:w="2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(1,986,822)</w:t>
            </w:r>
          </w:p>
        </w:tc>
      </w:tr>
      <w:tr>
        <w:trPr>
          <w:trHeight w:val="216"/>
        </w:trPr>
        <w:tc>
          <w:tcPr>
            <w:tcW w:w="9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13,125,112</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differences on cash</w:t>
            </w:r>
          </w:p>
        </w:tc>
        <w:tc>
          <w:tcPr>
            <w:tcW w:w="24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11,138,290</w:t>
            </w:r>
          </w:p>
        </w:tc>
        <w:tc>
          <w:tcPr>
            <w:tcW w:w="120" w:type="dxa"/>
            <w:vAlign w:val="bottom"/>
            <w:shd w:val="clear" w:color="auto" w:fill="CFF0FC"/>
          </w:tcPr>
          <w:p>
            <w:pPr>
              <w:spacing w:after="0"/>
              <w:rPr>
                <w:sz w:val="18"/>
                <w:szCs w:val="18"/>
                <w:color w:val="auto"/>
              </w:rPr>
            </w:pPr>
          </w:p>
        </w:tc>
      </w:tr>
      <w:tr>
        <w:trPr>
          <w:trHeight w:val="238"/>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cash and cash equivalents</w:t>
            </w:r>
          </w:p>
        </w:tc>
        <w:tc>
          <w:tcPr>
            <w:tcW w:w="24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(1,986,822)</w:t>
            </w:r>
          </w:p>
        </w:tc>
      </w:tr>
      <w:tr>
        <w:trPr>
          <w:trHeight w:val="1200"/>
        </w:trPr>
        <w:tc>
          <w:tcPr>
            <w:tcW w:w="9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-3419475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-2588260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SIREN GROUP AG, 8808 Pfäffikon and its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Principles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General aspects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Siren Group AG was founded on the 23rd August 2016 (entry in the register of commerce). These consolidated financial statements were prepared according to the provision of the Swiss Law. The accompanying interim financial statements are presented on a consolidated basis including the accounts of Siren Group AG and its subsidiary, Siren Group USA, Inc. (together "the Company"). Where not prescribed by law, the significant accounting and valuation principles applied are described below. It should be noted that to ensure the company's going concern, the Company's financial statements may be influenced by the creation and release of hidden reserves. All material intercompany balances, transactions, income, and expenses have been eliminated in consolidation. The consolidated financial statements have been prepared in accordance with Swiss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Accounting and financial reporting in functional currency (USD)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and financial reporting are kept in US Dollar, which is defined as the business significant currency (functional currency).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Accounting policy disclosures</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Going concern: the financial statements have been prepared on a going concern basis, as the Board of Directors has no intention or necessity to liquidate the Company or to curtail materially the scale of its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Use of estimates: the preparation of financial statements in conformity with Swiss Law requires management to make estimates and assumptions that affect the reported amounts of assets, liabilities, income and expenses. Actual results may differ from these estimates.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Intangible assets: intangible assets are recognised at cost of development less accumulated amortisation and impairment losses. They are amortised on a straight-line basis over their estimated useful life of 5 years.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Trade accounts receivables: Trade accounts receivable are stated at nominal value less allowances for doubtful accounts. Allowances are established based on an assessment of the creditworthiness of customers and the ageing of receivables.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recognition: revenue is recognized in accordance with Swiss Law when it is probable that economic benefits will flow to the Company and the amount of revenue can be reliably measured. Revenue is recognised either when the lead is generated or for some customers, when the appointment is generated (i.e. when the Company call center books the appointment). A small number of contractors are on revenue share agreements - revenue is recognised as a % of the final sale price. This revenue is accrued monthly based on an estimate and trued up post month end using disposition reports received from the contractors at the start of the following month. Revenue associated with these agreements is minimal.</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Treasury shares: Treasury shares are recognized as a deduction from equity at acquisition cost. Treasury shares do not carry voting rights and are not entitled to dividends. Should treasury shares be used for share-based payment programs, the difference between the fair value and any consideration paid by the recipient at the time of grant is recognised as personnel expenses.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Treasury participation certificates: Treasury participation certificates are accounted for analogously to treasury shares and are recognized as a reduction of equity at acquisition cost. Treasury participation certificates held by the Company do not carry dividend or voting rights. Should treasury participation certificates be used for share-based payment programs, the difference between the fair value and any consideration paid by the recipient at the time of grant is recognised as personnel expenses.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leasing and rental contracts are recognized based on legal ownership. Therefore, any leasing or rental expenses are recognized as expenses in the period they are incurred; however, the leased or rented objects themselves are not recognized in the balance sheet.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Pension: the Company records its contribution to the pension plan in personnel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Information on consolidated balance sheet and income statement items</w:t>
            </w:r>
          </w:p>
        </w:tc>
        <w:tc>
          <w:tcPr>
            <w:tcW w:w="3620" w:type="dxa"/>
            <w:vAlign w:val="bottom"/>
          </w:tcPr>
          <w:p>
            <w:pPr>
              <w:spacing w:after="0"/>
              <w:rPr>
                <w:sz w:val="20"/>
                <w:szCs w:val="20"/>
                <w:color w:val="auto"/>
              </w:rPr>
            </w:pPr>
          </w:p>
        </w:tc>
      </w:tr>
      <w:tr>
        <w:trPr>
          <w:trHeight w:val="405"/>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2.1 Share capital</w:t>
            </w:r>
          </w:p>
        </w:tc>
        <w:tc>
          <w:tcPr>
            <w:tcW w:w="3620" w:type="dxa"/>
            <w:vAlign w:val="bottom"/>
          </w:tcPr>
          <w:p>
            <w:pPr>
              <w:spacing w:after="0"/>
              <w:rPr>
                <w:sz w:val="24"/>
                <w:szCs w:val="24"/>
                <w:color w:val="auto"/>
              </w:rPr>
            </w:pPr>
          </w:p>
        </w:tc>
      </w:tr>
      <w:tr>
        <w:trPr>
          <w:trHeight w:val="391"/>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Consisting of 102,109 shares at nominal CHF 1.-.</w:t>
            </w:r>
          </w:p>
        </w:tc>
        <w:tc>
          <w:tcPr>
            <w:tcW w:w="3620" w:type="dxa"/>
            <w:vAlign w:val="bottom"/>
          </w:tcPr>
          <w:p>
            <w:pPr>
              <w:spacing w:after="0"/>
              <w:rPr>
                <w:sz w:val="24"/>
                <w:szCs w:val="24"/>
                <w:color w:val="auto"/>
              </w:rPr>
            </w:pPr>
          </w:p>
        </w:tc>
      </w:tr>
      <w:tr>
        <w:trPr>
          <w:trHeight w:val="410"/>
        </w:trPr>
        <w:tc>
          <w:tcPr>
            <w:tcW w:w="7620" w:type="dxa"/>
            <w:vAlign w:val="bottom"/>
          </w:tcPr>
          <w:p>
            <w:pPr>
              <w:spacing w:after="0"/>
              <w:rPr>
                <w:sz w:val="24"/>
                <w:szCs w:val="24"/>
                <w:color w:val="auto"/>
              </w:rPr>
            </w:pPr>
          </w:p>
        </w:tc>
        <w:tc>
          <w:tcPr>
            <w:tcW w:w="362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216"/>
        </w:trPr>
        <w:tc>
          <w:tcPr>
            <w:tcW w:w="7620" w:type="dxa"/>
            <w:vAlign w:val="bottom"/>
          </w:tcPr>
          <w:p>
            <w:pPr>
              <w:spacing w:after="0"/>
              <w:rPr>
                <w:sz w:val="18"/>
                <w:szCs w:val="18"/>
                <w:color w:val="auto"/>
              </w:rPr>
            </w:pPr>
          </w:p>
        </w:tc>
        <w:tc>
          <w:tcPr>
            <w:tcW w:w="362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period ended</w:t>
            </w:r>
          </w:p>
        </w:tc>
      </w:tr>
      <w:tr>
        <w:trPr>
          <w:trHeight w:val="216"/>
        </w:trPr>
        <w:tc>
          <w:tcPr>
            <w:tcW w:w="7620" w:type="dxa"/>
            <w:vAlign w:val="bottom"/>
          </w:tcPr>
          <w:p>
            <w:pPr>
              <w:spacing w:after="0"/>
              <w:rPr>
                <w:sz w:val="18"/>
                <w:szCs w:val="18"/>
                <w:color w:val="auto"/>
              </w:rPr>
            </w:pPr>
          </w:p>
        </w:tc>
        <w:tc>
          <w:tcPr>
            <w:tcW w:w="362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7620" w:type="dxa"/>
            <w:vAlign w:val="bottom"/>
          </w:tcPr>
          <w:p>
            <w:pPr>
              <w:spacing w:after="0"/>
              <w:rPr>
                <w:sz w:val="20"/>
                <w:szCs w:val="20"/>
                <w:color w:val="auto"/>
              </w:rPr>
            </w:pPr>
          </w:p>
        </w:tc>
        <w:tc>
          <w:tcPr>
            <w:tcW w:w="362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Shares at the beginning of the period</w:t>
            </w:r>
          </w:p>
        </w:tc>
        <w:tc>
          <w:tcPr>
            <w:tcW w:w="3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6,768</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3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 of Treasury Shares</w:t>
            </w:r>
          </w:p>
        </w:tc>
        <w:tc>
          <w:tcPr>
            <w:tcW w:w="3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 at the end of the period</w:t>
            </w:r>
          </w:p>
        </w:tc>
        <w:tc>
          <w:tcPr>
            <w:tcW w:w="3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6,693</w:t>
            </w:r>
          </w:p>
        </w:tc>
      </w:tr>
      <w:tr>
        <w:trPr>
          <w:trHeight w:val="41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2.2 Participation capital</w:t>
            </w:r>
          </w:p>
        </w:tc>
        <w:tc>
          <w:tcPr>
            <w:tcW w:w="3620" w:type="dxa"/>
            <w:vAlign w:val="bottom"/>
          </w:tcPr>
          <w:p>
            <w:pPr>
              <w:spacing w:after="0"/>
              <w:rPr>
                <w:sz w:val="24"/>
                <w:szCs w:val="24"/>
                <w:color w:val="auto"/>
              </w:rPr>
            </w:pPr>
          </w:p>
        </w:tc>
      </w:tr>
      <w:tr>
        <w:trPr>
          <w:trHeight w:val="392"/>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Consisting of 29,870 shares at nominal CHF 1.-.</w:t>
            </w:r>
          </w:p>
        </w:tc>
        <w:tc>
          <w:tcPr>
            <w:tcW w:w="3620" w:type="dxa"/>
            <w:vAlign w:val="bottom"/>
          </w:tcPr>
          <w:p>
            <w:pPr>
              <w:spacing w:after="0"/>
              <w:rPr>
                <w:sz w:val="24"/>
                <w:szCs w:val="24"/>
                <w:color w:val="auto"/>
              </w:rPr>
            </w:pPr>
          </w:p>
        </w:tc>
      </w:tr>
      <w:tr>
        <w:trPr>
          <w:trHeight w:val="410"/>
        </w:trPr>
        <w:tc>
          <w:tcPr>
            <w:tcW w:w="7620" w:type="dxa"/>
            <w:vAlign w:val="bottom"/>
          </w:tcPr>
          <w:p>
            <w:pPr>
              <w:spacing w:after="0"/>
              <w:rPr>
                <w:sz w:val="24"/>
                <w:szCs w:val="24"/>
                <w:color w:val="auto"/>
              </w:rPr>
            </w:pPr>
          </w:p>
        </w:tc>
        <w:tc>
          <w:tcPr>
            <w:tcW w:w="362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216"/>
        </w:trPr>
        <w:tc>
          <w:tcPr>
            <w:tcW w:w="7620" w:type="dxa"/>
            <w:vAlign w:val="bottom"/>
          </w:tcPr>
          <w:p>
            <w:pPr>
              <w:spacing w:after="0"/>
              <w:rPr>
                <w:sz w:val="18"/>
                <w:szCs w:val="18"/>
                <w:color w:val="auto"/>
              </w:rPr>
            </w:pPr>
          </w:p>
        </w:tc>
        <w:tc>
          <w:tcPr>
            <w:tcW w:w="362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period ended</w:t>
            </w:r>
          </w:p>
        </w:tc>
      </w:tr>
      <w:tr>
        <w:trPr>
          <w:trHeight w:val="216"/>
        </w:trPr>
        <w:tc>
          <w:tcPr>
            <w:tcW w:w="7620" w:type="dxa"/>
            <w:vAlign w:val="bottom"/>
          </w:tcPr>
          <w:p>
            <w:pPr>
              <w:spacing w:after="0"/>
              <w:rPr>
                <w:sz w:val="18"/>
                <w:szCs w:val="18"/>
                <w:color w:val="auto"/>
              </w:rPr>
            </w:pPr>
          </w:p>
        </w:tc>
        <w:tc>
          <w:tcPr>
            <w:tcW w:w="362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7620" w:type="dxa"/>
            <w:vAlign w:val="bottom"/>
          </w:tcPr>
          <w:p>
            <w:pPr>
              <w:spacing w:after="0"/>
              <w:rPr>
                <w:sz w:val="20"/>
                <w:szCs w:val="20"/>
                <w:color w:val="auto"/>
              </w:rPr>
            </w:pPr>
          </w:p>
        </w:tc>
        <w:tc>
          <w:tcPr>
            <w:tcW w:w="362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Participation certificates at the beginning of the period</w:t>
            </w:r>
          </w:p>
        </w:tc>
        <w:tc>
          <w:tcPr>
            <w:tcW w:w="3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2,714</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Treasury Participation certificates</w:t>
            </w:r>
          </w:p>
        </w:tc>
        <w:tc>
          <w:tcPr>
            <w:tcW w:w="3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 of Treasury Participation certificates</w:t>
            </w:r>
          </w:p>
        </w:tc>
        <w:tc>
          <w:tcPr>
            <w:tcW w:w="3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Treasury Participation certificates at the end of the period</w:t>
            </w:r>
          </w:p>
        </w:tc>
        <w:tc>
          <w:tcPr>
            <w:tcW w:w="3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Cash used to pledge own liabilities, as well as retention of title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of USD 257,100 is pledged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Stock Options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2023, the Company Board resolved to issue a Stock Option Plan with the purpose of attracting and retaining selected individuals to serve as officers, employees, directors, consultants, and to encourage them to promote the sustainable success of the business of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484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216"/>
        </w:trPr>
        <w:tc>
          <w:tcPr>
            <w:tcW w:w="6400" w:type="dxa"/>
            <w:vAlign w:val="bottom"/>
          </w:tcPr>
          <w:p>
            <w:pPr>
              <w:spacing w:after="0"/>
              <w:rPr>
                <w:sz w:val="18"/>
                <w:szCs w:val="18"/>
                <w:color w:val="auto"/>
              </w:rPr>
            </w:pPr>
          </w:p>
        </w:tc>
        <w:tc>
          <w:tcPr>
            <w:tcW w:w="484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period ended</w:t>
            </w:r>
          </w:p>
        </w:tc>
      </w:tr>
      <w:tr>
        <w:trPr>
          <w:trHeight w:val="216"/>
        </w:trPr>
        <w:tc>
          <w:tcPr>
            <w:tcW w:w="6400" w:type="dxa"/>
            <w:vAlign w:val="bottom"/>
          </w:tcPr>
          <w:p>
            <w:pPr>
              <w:spacing w:after="0"/>
              <w:rPr>
                <w:sz w:val="18"/>
                <w:szCs w:val="18"/>
                <w:color w:val="auto"/>
              </w:rPr>
            </w:pPr>
          </w:p>
        </w:tc>
        <w:tc>
          <w:tcPr>
            <w:tcW w:w="484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6400" w:type="dxa"/>
            <w:vAlign w:val="bottom"/>
          </w:tcPr>
          <w:p>
            <w:pPr>
              <w:spacing w:after="0"/>
              <w:rPr>
                <w:sz w:val="20"/>
                <w:szCs w:val="20"/>
                <w:color w:val="auto"/>
              </w:rPr>
            </w:pPr>
          </w:p>
        </w:tc>
        <w:tc>
          <w:tcPr>
            <w:tcW w:w="484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at the beginning of the period</w:t>
            </w:r>
          </w:p>
        </w:tc>
        <w:tc>
          <w:tcPr>
            <w:tcW w:w="4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Grants</w:t>
            </w:r>
          </w:p>
        </w:tc>
        <w:tc>
          <w:tcPr>
            <w:tcW w:w="4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Stock Options</w:t>
            </w:r>
          </w:p>
        </w:tc>
        <w:tc>
          <w:tcPr>
            <w:tcW w:w="4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at the end of the period</w:t>
            </w:r>
          </w:p>
        </w:tc>
        <w:tc>
          <w:tcPr>
            <w:tcW w:w="4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Other disclosures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Related party transactions: other than routine current account transactions with the Company's principal shareholders, no related party transactions were entered into during the reporting period.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 as of the balance sheet date, the Company is not aware of any off-balance-sheet commitments or contingencies.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events: Subsequent to the reporting date, on 1 December 2025, the Company entered into an agreement for the sale of its shares to QuinStreet, a corporation listed on a U.S.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Swiss law and the consolidation and valuation principles set out in the notes.</w:t>
      </w:r>
    </w:p>
    <w:p>
      <w:pPr>
        <w:spacing w:after="0" w:line="135" w:lineRule="exact"/>
        <w:rPr>
          <w:sz w:val="20"/>
          <w:szCs w:val="20"/>
          <w:color w:val="auto"/>
        </w:rPr>
      </w:pPr>
    </w:p>
    <w:p>
      <w:pPr>
        <w:jc w:val="both"/>
        <w:ind w:firstLine="68"/>
        <w:spacing w:after="0" w:line="282" w:lineRule="auto"/>
        <w:rPr>
          <w:sz w:val="20"/>
          <w:szCs w:val="20"/>
          <w:color w:val="auto"/>
        </w:rPr>
      </w:pPr>
      <w:r>
        <w:rPr>
          <w:rFonts w:ascii="Times New Roman" w:cs="Times New Roman" w:eastAsia="Times New Roman" w:hAnsi="Times New Roman"/>
          <w:sz w:val="18"/>
          <w:szCs w:val="18"/>
          <w:color w:val="auto"/>
        </w:rPr>
        <w:t>The following is a narrative summary of material differences regarding the form, content and accounting principles that exist between the Swiss law regulations and accounting principles generally accepted in the United States of America (U.S. GAAP).</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income statement under Swiss law has been prepared using the type-of-expenditure format. Income and expense items are disclosed according to their type, irrespective of where they are incurred, and include the complete period expenses instead of cost of sales. Assets on the balance sheet are shown according to decreasing liquidity, i.e. highly liquid assets are shown on top of the balance sheet whereas fixed assets are shown on the bottom of the balance sheet. The same reporting principle applies to liabilities and equity.</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Swiss law the Company is not obliged to present equity reconciliation statements. Also, the Company is only required to report limited disclosures in the notes to financial statements. Compared to requirements under U.S. GAAP, information in the Swiss law notes to financial statements are less detailed.</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narrative summary of material accounting differences between Swiss law and U.S. GAAP:</w:t>
      </w:r>
    </w:p>
    <w:p>
      <w:pPr>
        <w:spacing w:after="0" w:line="115" w:lineRule="exact"/>
        <w:rPr>
          <w:sz w:val="20"/>
          <w:szCs w:val="20"/>
          <w:color w:val="auto"/>
        </w:rPr>
      </w:pPr>
    </w:p>
    <w:p>
      <w:pPr>
        <w:jc w:val="both"/>
        <w:ind w:left="1020" w:hanging="503"/>
        <w:spacing w:after="0" w:line="25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of internally developed software: </w:t>
      </w:r>
      <w:r>
        <w:rPr>
          <w:rFonts w:ascii="Times New Roman" w:cs="Times New Roman" w:eastAsia="Times New Roman" w:hAnsi="Times New Roman"/>
          <w:sz w:val="18"/>
          <w:szCs w:val="18"/>
          <w:color w:val="auto"/>
        </w:rPr>
        <w:t>Under Swiss law, capitalization of internally developed software is generally broader,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expenditures more frequently capitalized when the project’s feasibility and future economic benefit are supportable. In contrast, U.S. GAAP applies more prescriptive criteria for internal use software, requiring expense of preliminary project and post-implementation activities and allowing capitalization only for qualifying application development stage costs once specific conditions are met. As a result, entities typically recognize higher capitalized software balances under Swiss law than under U.S. GAAP, with a corresponding reduction to period expense</w:t>
      </w:r>
      <w:r>
        <w:rPr>
          <w:rFonts w:ascii="Times New Roman" w:cs="Times New Roman" w:eastAsia="Times New Roman" w:hAnsi="Times New Roman"/>
          <w:sz w:val="18"/>
          <w:szCs w:val="18"/>
          <w:i w:val="1"/>
          <w:iCs w:val="1"/>
          <w:color w:val="auto"/>
        </w:rPr>
        <w:t>.</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Deferred Taxation: </w:t>
      </w:r>
      <w:r>
        <w:rPr>
          <w:rFonts w:ascii="Times New Roman" w:cs="Times New Roman" w:eastAsia="Times New Roman" w:hAnsi="Times New Roman"/>
          <w:sz w:val="18"/>
          <w:szCs w:val="18"/>
          <w:color w:val="auto"/>
        </w:rPr>
        <w:t>Under Swiss law, there is no difference between tax and accounting basis. Therefore, Swiss law only requires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to be recorded as there are no deferred taxes. Under U.S. GAAP, deferred tax liabilities and assets are based on the differences between the tax and accounting basis of assets and liabilities. Therefore, U.S. GAAP deferred tax accounting is more comprehensive than under Swiss law, with a valuation allowance recorded against deferred tax assets if they are not more-likely-than-not to be fully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3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and notes thereto present the unaudited pro forma condensed combined balance sheet as of September 30, 2025 and the unaudited pro forma condensed combined statements of operations for the three months ended September 30, 2025 and the year ended June 30, 2025. The unaudited pro forma condensed combined financial information (“pro formas”) of QuinStreet, Inc. (“QuinStreet” or the “Company”), has been prepared in accordance with Article 11 of Regulation S-X, as amended, and presents the combination of the historical financial information of QuinStreet and Siren Group AG (“HomeBuddy”), adjusted to give effect to the Acquisition (as defined below). The pro forma financial information of QuinStreet also gives effect to a financing event completed by QuinStreet that has occurred but is not yet reflected in the historical financial information of QuinStreet and is considered a material transaction separate from the Acquisition (as defined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Acquisition</w:t>
      </w:r>
    </w:p>
    <w:p>
      <w:pPr>
        <w:spacing w:after="0" w:line="229"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On January 2, 2026 (the “Acquisition Date”), QuinStreet completed its acquisition (the “Acquisition”) of HomeBuddy, pursuant to the terms of the share purchase agreement (the “Purchase Agreement”) entered into by and among QuinStreet, HomeBuddy, the Shareholders of HomeBuddy (each a “Seller” and collectively, the “Sellers”), and Maxym Entin as the Shareholders’ Representative. Pursuant to the terms of the Purchase Agreement, QuinStreet agreed to purchase from the Sellers all of the issued and outstanding equity securities of HomeBuddy. Prior to the Acquisition Date, on December 29, 2025, HomeBuddy paid a $6.0 million pro rata cash dividend inclusive of tax withholding, to its shareholders (the “Cash Sweep Dividend”) in accordance with the Purchase Agreement, intended to distribute substantially all cash and cash-like positions on hand (other than an amount necessary to maintain a normalized level of working capital). At closing, QuinStreet paid $115.0 million in cash, subject to certain adjustments as provided in the Purchase Agreement. Pursuant to the Purchase Agreement, QuinStreet is obligated to pay $75.0 million in additional non-contingent post-closing payments (the “Anniversary Payments”), payable in equal annual installments over a four-year period. The Anniversary Payments are not subject to performance or operational milestones and become due solely with the passage of time. However, the Purchase Agreement permits QuinStreet to reduce each installment by certain allowable 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 including indemnification claims. No adjustment to the installments for set-offs or indemnification claims have been made in the pro forma financial information based on information available.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Event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QuinStreet entered into a new senior secured credit agreement (the “Financing Agreement”) on January 2, 2026, by and among QuinStreet, as borrower, MUFG Bank, LTD., as administrative agent, and certain other lenders. The Financing Agreement provides for a $150.0 million revolving credit facility (the “Revolving Credit Facility”). The proceeds of the loans drawn under the Revolving Credit Facility were used to partially fund the acquisition of all of the issued and outstanding equity securities of HomeBuddy and may also be used for general working capital needs and other general corporate purposes of QuinStreet. On January 2, 2026, the Company borrowed $70.0 million under the Revolving Credit Facility in connection with the Acquisition.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Revolving Credit Facility has a stated maturity date of January 2, 2031. Borrowings under the Revolving Credit Facility are secured by first-priority liens on substantially all assets of QuinStreet and certain subsidiaries, subject to certain exceptions. Interest on the borrowings under the Revolving Credit Facility is payable in arrears on the applicable interest payment date at an interest rate equal to, at QuinStreet’s option, either (a) a SOFR-based rate (subject to a 0.00% per annum floor), plus an applicable margin of up to 2.75% per annum depending on the Consolidated Total Net Leverage Ratio (as defined in the Financing Agreement), or (b) a base rate (subject to a 0.00% per annum floor), plus an applicable margin of up to 1.75% per annum depending on the Consolidated Total Net Leverage Ratio. QuinStreet is also required to pay an unused commitment fee of up to 0.40% per annum on the unused portion of the Revolving Credit Facility, depending on the Consolidated Total Net Leverage Ratio.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(“pro forma balance sheet”) assumes that the Acquisition occurred on September 30, 2025. The unaudited pro forma condensed combined statements of operations (“pro forma statements of operations”) for the three months ended September 30, 2025, and for the year ended June 30, 2025 assumes that the Acquisition occurred as of July 1, 2024, and combines the historical results of QuinStreet and HomeBuddy giving pro forma effect for the periods then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8"/>
          <w:szCs w:val="18"/>
          <w:color w:val="auto"/>
        </w:rPr>
        <w:t>The adjustments in the pro forma financial information have been identified and presented to provide relevant information in accordance with generally accepted accounting principles in the United States (“GAAP”) necessary for an illustrative understanding of the Acquisition. Certain non-recurring charges have been and may continue to be incurred in connection with the Acquisition, including among others, financial advisors, legal services and professional accounting services. These charges could affect the future results of QuinStreet in the period in which such charges are incurred; however, these costs are not expected to be incurred in any period beyond 12 months from the Acquisition Date. The pro forma statements of operations for the periods presented reflect the effects of these non-recurring transaction costs. The unaudited pro forma adjustments are believed by management to be necessary for a fair statement of QuinStreet’s pro forma financial information, in accordance with the regulations of the Securities and Exchange Commission (“SEC”).</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is derived from the historical financial statements of QuinStreet and HomeBuddy, and should be read in conjunction with the following financial statements and accompanying notes:</w:t>
      </w:r>
    </w:p>
    <w:p>
      <w:pPr>
        <w:spacing w:after="0" w:line="54" w:lineRule="exact"/>
        <w:rPr>
          <w:sz w:val="20"/>
          <w:szCs w:val="20"/>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QuinStreet for the three months ended September 30, 2025, included in its Quarterly Report on Form 10-Q filed with the SEC on November 7, 2025,</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QuinStreet for the year ended June 30, 2025, included in its Annual Report on Form 10-K filed with the SEC on August 21, 2025,</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HomeBuddy for the year ended December 31, 2024, that are included in Exhibit 99.1 of this Form 8-K/A,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HomeBuddy for the nine months ended September 30, 2025, that are included in Exhibit 99.1 of this Form 8-K/A.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Assumptions underlying the pro forma adjustments are described in the accompanying notes, which should be read in conjunction with the unaudited pro forma condensed combined financial information. The transaction accounting and financing adjustments are based on available information and assumptions that the Company’s management believes are reasonable. Such adjustments are estimates and actual experience may differ from expectations.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is subject to post-closing adjustments and adjustments related to the valuation of assets and liabilities acquired that have not yet been finalized. The pro forma adjustments are preliminary and have been made solely for the purpose of providing pro forma financial information as required by SEC rules. Differences between these preliminary estimates and the final balances may be material.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financial information has been prepared for illustrative purposes only and are not necessarily indicative of what the combined company’s financial position or results of operations would have been had the combination occurred as of the dates indicated. The pro forma financial information also should not be considered indicative of the future results of operations or financial position of QuinStreet.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HomeBuddy</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HomeBuddy - As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QuinStreet,</w:t>
            </w: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Inc.</w:t>
            </w:r>
          </w:p>
        </w:tc>
        <w:tc>
          <w:tcPr>
            <w:tcW w:w="8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(Notes 2 and 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(Note 7)</w:t>
            </w: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3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101,298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11,138</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(114,807)</w:t>
            </w:r>
          </w:p>
        </w:tc>
        <w:tc>
          <w:tcPr>
            <w:tcW w:w="6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5(a)</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w:t>
            </w: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7(a)</w:t>
            </w:r>
          </w:p>
        </w:tc>
        <w:tc>
          <w:tcPr>
            <w:tcW w:w="2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59,959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5(b)</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(1,670)</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7(b)</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149,981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7,096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6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5(h)</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156,899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8,368</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10,885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259,647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20,751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(120,985)</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68,330</w:t>
            </w: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227,743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16,968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9,329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125,056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137,770</w:t>
            </w:r>
          </w:p>
        </w:tc>
        <w:tc>
          <w:tcPr>
            <w:tcW w:w="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262,826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26,182</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9,691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39,809</w:t>
            </w: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5(d)</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75,682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assets, noncurrent</w:t>
            </w:r>
          </w:p>
        </w:tc>
        <w:tc>
          <w:tcPr>
            <w:tcW w:w="10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assets, noncurrent</w:t>
            </w:r>
          </w:p>
        </w:tc>
        <w:tc>
          <w:tcPr>
            <w:tcW w:w="10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5,462</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1,670</w:t>
            </w:r>
          </w:p>
        </w:tc>
        <w:tc>
          <w:tcPr>
            <w:tcW w:w="24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7(b)</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7,132</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442,644</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30,732</w:t>
            </w:r>
          </w:p>
        </w:tc>
        <w:tc>
          <w:tcPr>
            <w:tcW w:w="140" w:type="dxa"/>
            <w:vAlign w:val="bottom"/>
          </w:tcPr>
          <w:p>
            <w:pPr>
              <w:spacing w:after="0"/>
              <w:rPr>
                <w:sz w:val="12"/>
                <w:szCs w:val="12"/>
                <w:color w:val="auto"/>
              </w:rPr>
            </w:pPr>
          </w:p>
        </w:tc>
        <w:tc>
          <w:tcPr>
            <w:tcW w:w="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56,304</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70,000</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599,680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74,553</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4,463</w:t>
            </w:r>
          </w:p>
        </w:tc>
        <w:tc>
          <w:tcPr>
            <w:tcW w:w="140" w:type="dxa"/>
            <w:vAlign w:val="bottom"/>
          </w:tcPr>
          <w:p>
            <w:pPr>
              <w:spacing w:after="0"/>
              <w:rPr>
                <w:sz w:val="12"/>
                <w:szCs w:val="12"/>
                <w:color w:val="auto"/>
              </w:rPr>
            </w:pPr>
          </w:p>
        </w:tc>
        <w:tc>
          <w:tcPr>
            <w:tcW w:w="2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5(h)</w:t>
            </w:r>
          </w:p>
        </w:tc>
        <w:tc>
          <w:tcPr>
            <w:tcW w:w="2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2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78,838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89,498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2,334</w:t>
            </w: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5(e)</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102,864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8,114</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16,222</w:t>
            </w:r>
          </w:p>
        </w:tc>
        <w:tc>
          <w:tcPr>
            <w:tcW w:w="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5(a)</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24,576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172,165</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15,735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18,378</w:t>
            </w: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206,278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6,995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liability</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6,590</w:t>
            </w: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5(g)</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liabilities, noncurrent</w:t>
            </w: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16,785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48,667</w:t>
            </w:r>
          </w:p>
        </w:tc>
        <w:tc>
          <w:tcPr>
            <w:tcW w:w="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65,452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Debt, noncurrent</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w:t>
            </w: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7(a)</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tcBorders>
              <w:top w:val="single" w:sz="8" w:color="CFF0FC"/>
            </w:tcBorders>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195,945</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15,735</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73,635</w:t>
            </w:r>
          </w:p>
        </w:tc>
        <w:tc>
          <w:tcPr>
            <w:tcW w:w="240" w:type="dxa"/>
            <w:vAlign w:val="bottom"/>
            <w:tcBorders>
              <w:top w:val="single" w:sz="8" w:color="CFF0FC"/>
            </w:tcBorders>
          </w:tcPr>
          <w:p>
            <w:pPr>
              <w:spacing w:after="0"/>
              <w:rPr>
                <w:sz w:val="12"/>
                <w:szCs w:val="12"/>
                <w:color w:val="auto"/>
              </w:rPr>
            </w:pPr>
          </w:p>
        </w:tc>
        <w:tc>
          <w:tcPr>
            <w:tcW w:w="68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70,000</w:t>
            </w:r>
          </w:p>
        </w:tc>
        <w:tc>
          <w:tcPr>
            <w:tcW w:w="240" w:type="dxa"/>
            <w:vAlign w:val="bottom"/>
            <w:tcBorders>
              <w:top w:val="single" w:sz="8" w:color="CFF0FC"/>
            </w:tcBorders>
          </w:tcPr>
          <w:p>
            <w:pPr>
              <w:spacing w:after="0"/>
              <w:rPr>
                <w:sz w:val="12"/>
                <w:szCs w:val="12"/>
                <w:color w:val="auto"/>
              </w:rPr>
            </w:pPr>
          </w:p>
        </w:tc>
        <w:tc>
          <w:tcPr>
            <w:tcW w:w="68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355,315</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Common stock, HomeBuddy</w:t>
            </w:r>
          </w:p>
        </w:tc>
        <w:tc>
          <w:tcPr>
            <w:tcW w:w="10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368,078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6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5(f)</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368,078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Treasury stock</w:t>
            </w:r>
          </w:p>
        </w:tc>
        <w:tc>
          <w:tcPr>
            <w:tcW w:w="10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(3,881)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3,881</w:t>
            </w:r>
          </w:p>
        </w:tc>
        <w:tc>
          <w:tcPr>
            <w:tcW w:w="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0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48"/>
        </w:trPr>
        <w:tc>
          <w:tcPr>
            <w:tcW w:w="30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Accumulated surplus (deficit)</w:t>
            </w:r>
          </w:p>
        </w:tc>
        <w:tc>
          <w:tcPr>
            <w:tcW w:w="10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(121,169)</w:t>
            </w: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18,743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(18,743)</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(123,503)</w:t>
            </w:r>
          </w:p>
        </w:tc>
        <w:tc>
          <w:tcPr>
            <w:tcW w:w="0" w:type="dxa"/>
            <w:vAlign w:val="bottom"/>
          </w:tcPr>
          <w:p>
            <w:pPr>
              <w:spacing w:after="0"/>
              <w:rPr>
                <w:sz w:val="1"/>
                <w:szCs w:val="1"/>
                <w:color w:val="auto"/>
              </w:rPr>
            </w:pPr>
          </w:p>
        </w:tc>
      </w:tr>
      <w:tr>
        <w:trPr>
          <w:trHeight w:val="149"/>
        </w:trPr>
        <w:tc>
          <w:tcPr>
            <w:tcW w:w="3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(2,334)</w:t>
            </w:r>
          </w:p>
        </w:tc>
        <w:tc>
          <w:tcPr>
            <w:tcW w:w="6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5(e)</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246,699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14,997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(17,331)</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244,365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60" w:type="dxa"/>
            <w:vAlign w:val="bottom"/>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442,644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30,732</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56,304</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70,000</w:t>
            </w: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599,680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-2365375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-2365375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-2365375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-2365375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-2365375</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-1191260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-1191260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-1191260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-1191260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-1191260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-231140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-231140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-231140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-231140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-231140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-25400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-8255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-8255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-25400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622935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HomeBuddy - As</w:t>
            </w:r>
          </w:p>
        </w:tc>
        <w:tc>
          <w:tcPr>
            <w:tcW w:w="18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QuinStreet,</w:t>
            </w:r>
          </w:p>
        </w:tc>
        <w:tc>
          <w:tcPr>
            <w:tcW w:w="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80" w:type="dxa"/>
            <w:vAlign w:val="bottom"/>
          </w:tcPr>
          <w:p>
            <w:pPr>
              <w:spacing w:after="0"/>
              <w:rPr>
                <w:sz w:val="12"/>
                <w:szCs w:val="12"/>
                <w:color w:val="auto"/>
              </w:rPr>
            </w:pPr>
          </w:p>
        </w:tc>
        <w:tc>
          <w:tcPr>
            <w:tcW w:w="146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2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Inc.</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(Notes 2 and 3)</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(Note 6)</w:t>
            </w:r>
          </w:p>
        </w:tc>
        <w:tc>
          <w:tcPr>
            <w:tcW w:w="24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(Note 7)</w:t>
            </w:r>
          </w:p>
        </w:tc>
        <w:tc>
          <w:tcPr>
            <w:tcW w:w="2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revenue</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285,853</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43,592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(376)</w:t>
            </w:r>
          </w:p>
        </w:tc>
        <w:tc>
          <w:tcPr>
            <w:tcW w:w="66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6(a)</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329,069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258,913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33,918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(376)</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6(a)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292,455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26,940</w:t>
            </w:r>
          </w:p>
        </w:tc>
        <w:tc>
          <w:tcPr>
            <w:tcW w:w="26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9,674</w:t>
            </w:r>
          </w:p>
        </w:tc>
        <w:tc>
          <w:tcPr>
            <w:tcW w:w="22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36,614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Product development</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8,159</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2,327</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6(c)</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6(c)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891</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6(b)</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9,266</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632</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6(c)</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9,917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Operating income (loss)</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4,789</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6,535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(1,362)</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9,962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(737)</w:t>
            </w:r>
          </w:p>
        </w:tc>
        <w:tc>
          <w:tcPr>
            <w:tcW w:w="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6(e)</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880" w:type="dxa"/>
            <w:vAlign w:val="bottom"/>
            <w:gridSpan w:val="3"/>
            <w:shd w:val="clear" w:color="auto" w:fill="CFF0FC"/>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7(c)</w:t>
            </w:r>
          </w:p>
        </w:tc>
        <w:tc>
          <w:tcPr>
            <w:tcW w:w="9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(1,945)</w:t>
            </w: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 income, net</w:t>
            </w: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4,719</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6,737</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(2,099)</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(1,140)</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8,217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2"/>
                <w:szCs w:val="12"/>
                <w:color w:val="auto"/>
              </w:rPr>
            </w:pPr>
          </w:p>
        </w:tc>
        <w:tc>
          <w:tcPr>
            <w:tcW w:w="14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(929)</w:t>
            </w:r>
          </w:p>
        </w:tc>
        <w:tc>
          <w:tcPr>
            <w:tcW w:w="180" w:type="dxa"/>
            <w:vAlign w:val="bottom"/>
          </w:tcPr>
          <w:p>
            <w:pPr>
              <w:spacing w:after="0"/>
              <w:rPr>
                <w:sz w:val="12"/>
                <w:szCs w:val="12"/>
                <w:color w:val="auto"/>
              </w:rPr>
            </w:pPr>
          </w:p>
        </w:tc>
        <w:tc>
          <w:tcPr>
            <w:tcW w:w="14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(1,113)</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4,535</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5,808</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(2,099)</w:t>
            </w:r>
          </w:p>
        </w:tc>
        <w:tc>
          <w:tcPr>
            <w:tcW w:w="66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(1,140)</w:t>
            </w:r>
          </w:p>
        </w:tc>
        <w:tc>
          <w:tcPr>
            <w:tcW w:w="88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0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66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6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per share:</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Diluted</w:t>
            </w:r>
          </w:p>
        </w:tc>
        <w:tc>
          <w:tcPr>
            <w:tcW w:w="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0.08</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3"/>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0.12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18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220" w:type="dxa"/>
            <w:vAlign w:val="bottom"/>
            <w:tcBorders>
              <w:top w:val="single" w:sz="8" w:color="CFF0FC"/>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66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20" w:type="dxa"/>
            <w:vAlign w:val="bottom"/>
            <w:tcBorders>
              <w:top w:val="single" w:sz="8" w:color="CFF0FC"/>
            </w:tcBorders>
          </w:tcPr>
          <w:p>
            <w:pPr>
              <w:spacing w:after="0"/>
              <w:rPr>
                <w:sz w:val="11"/>
                <w:szCs w:val="11"/>
                <w:color w:val="auto"/>
              </w:rPr>
            </w:pPr>
          </w:p>
        </w:tc>
        <w:tc>
          <w:tcPr>
            <w:tcW w:w="220" w:type="dxa"/>
            <w:vAlign w:val="bottom"/>
            <w:tcBorders>
              <w:top w:val="single" w:sz="8" w:color="CFF0FC"/>
            </w:tcBorders>
          </w:tcPr>
          <w:p>
            <w:pPr>
              <w:spacing w:after="0"/>
              <w:rPr>
                <w:sz w:val="11"/>
                <w:szCs w:val="11"/>
                <w:color w:val="auto"/>
              </w:rPr>
            </w:pPr>
          </w:p>
        </w:tc>
        <w:tc>
          <w:tcPr>
            <w:tcW w:w="66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0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Weighted average shares used in computing net</w:t>
            </w: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per share:</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57,358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58,769</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58,769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-925195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-908050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-925195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-908050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-925195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-908050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-925195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-908050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-496570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-479425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622935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2" w:name="page23"/>
    <w:bookmarkEnd w:id="2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QuinStreet,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HomeBuddy - As</w:t>
            </w:r>
          </w:p>
        </w:tc>
        <w:tc>
          <w:tcPr>
            <w:tcW w:w="18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QuinStreet,</w:t>
            </w:r>
          </w:p>
        </w:tc>
        <w:tc>
          <w:tcPr>
            <w:tcW w:w="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80" w:type="dxa"/>
            <w:vAlign w:val="bottom"/>
          </w:tcPr>
          <w:p>
            <w:pPr>
              <w:spacing w:after="0"/>
              <w:rPr>
                <w:sz w:val="12"/>
                <w:szCs w:val="12"/>
                <w:color w:val="auto"/>
              </w:rPr>
            </w:pPr>
          </w:p>
        </w:tc>
        <w:tc>
          <w:tcPr>
            <w:tcW w:w="146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2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Inc.</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(Notes 2 and 3)</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(Note 6)</w:t>
            </w:r>
          </w:p>
        </w:tc>
        <w:tc>
          <w:tcPr>
            <w:tcW w:w="24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(Note 7)</w:t>
            </w:r>
          </w:p>
        </w:tc>
        <w:tc>
          <w:tcPr>
            <w:tcW w:w="2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revenue</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1,093,711</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134,908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(1,081)</w:t>
            </w:r>
          </w:p>
        </w:tc>
        <w:tc>
          <w:tcPr>
            <w:tcW w:w="660" w:type="dxa"/>
            <w:vAlign w:val="bottom"/>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6(a)</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1,227,538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982,840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104,503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6(a)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1,086,262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110,871</w:t>
            </w:r>
          </w:p>
        </w:tc>
        <w:tc>
          <w:tcPr>
            <w:tcW w:w="26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30,405</w:t>
            </w:r>
          </w:p>
        </w:tc>
        <w:tc>
          <w:tcPr>
            <w:tcW w:w="22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141,276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Product development</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33,872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6,168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6(c)</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40,265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18,289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1,641</w:t>
            </w: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6(c)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4,437</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6(b)</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52,517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6(c)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2,334</w:t>
            </w:r>
          </w:p>
        </w:tc>
        <w:tc>
          <w:tcPr>
            <w:tcW w:w="24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6(d)</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Operating income (loss)</w:t>
            </w:r>
          </w:p>
        </w:tc>
        <w:tc>
          <w:tcPr>
            <w:tcW w:w="1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6,193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20,162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(8,767)</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17,588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12"/>
                <w:szCs w:val="12"/>
                <w:color w:val="auto"/>
              </w:rPr>
            </w:pPr>
          </w:p>
        </w:tc>
        <w:tc>
          <w:tcPr>
            <w:tcW w:w="14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4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(3,905)</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6(e)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(4,559)</w:t>
            </w:r>
          </w:p>
        </w:tc>
        <w:tc>
          <w:tcPr>
            <w:tcW w:w="880" w:type="dxa"/>
            <w:vAlign w:val="bottom"/>
            <w:gridSpan w:val="3"/>
          </w:tcPr>
          <w:p>
            <w:pPr>
              <w:jc w:val="right"/>
              <w:ind w:right="368"/>
              <w:spacing w:after="0" w:line="149" w:lineRule="exact"/>
              <w:rPr>
                <w:sz w:val="20"/>
                <w:szCs w:val="20"/>
                <w:color w:val="auto"/>
              </w:rPr>
            </w:pPr>
            <w:r>
              <w:rPr>
                <w:rFonts w:ascii="Times New Roman" w:cs="Times New Roman" w:eastAsia="Times New Roman" w:hAnsi="Times New Roman"/>
                <w:sz w:val="14"/>
                <w:szCs w:val="14"/>
                <w:color w:val="auto"/>
              </w:rPr>
              <w:t>7(c)</w:t>
            </w: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(8,864)</w:t>
            </w:r>
          </w:p>
        </w:tc>
        <w:tc>
          <w:tcPr>
            <w:tcW w:w="0" w:type="dxa"/>
            <w:vAlign w:val="bottom"/>
          </w:tcPr>
          <w:p>
            <w:pPr>
              <w:spacing w:after="0"/>
              <w:rPr>
                <w:sz w:val="1"/>
                <w:szCs w:val="1"/>
                <w:color w:val="auto"/>
              </w:rPr>
            </w:pPr>
          </w:p>
        </w:tc>
      </w:tr>
      <w:tr>
        <w:trPr>
          <w:trHeight w:val="149"/>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(expense) income, net</w:t>
            </w: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Income (loss) before income taxes</w:t>
            </w:r>
          </w:p>
        </w:tc>
        <w:tc>
          <w:tcPr>
            <w:tcW w:w="1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5,633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20,588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(12,672)</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(4,559)</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8,990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(926)</w:t>
            </w: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(2,845)</w:t>
            </w:r>
          </w:p>
        </w:tc>
        <w:tc>
          <w:tcPr>
            <w:tcW w:w="18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(3,771)</w:t>
            </w: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4,707</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17,743</w:t>
            </w:r>
          </w:p>
        </w:tc>
        <w:tc>
          <w:tcPr>
            <w:tcW w:w="22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(12,672)</w:t>
            </w:r>
          </w:p>
        </w:tc>
        <w:tc>
          <w:tcPr>
            <w:tcW w:w="66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(4,559)</w:t>
            </w:r>
          </w:p>
        </w:tc>
        <w:tc>
          <w:tcPr>
            <w:tcW w:w="8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per share:</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2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gridSpan w:val="2"/>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0.08</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0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Weighted average shares used in computing net</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income per share:</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56,477</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56,477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58,300</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-1636395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-1636395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-1636395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-1636395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-1250315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-1250315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-1250315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-1250315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-1250315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-1053465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-1053465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-1053465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-1053465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-641985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-624840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622935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 forma financial information has been prepared in accordance with Article 11 of Regulation S-X, as amended. The historical financial information of QuinStreet and HomeBuddy has been adjusted to reflect transaction accounting and financing adjustments related to the Acquisition. The pro forma statements of operations include certain non-recurring costs incurred, or expected to be incurred, in connection with the Acquisition, including fees for financial advisors, legal services and professional accounting services. These costs may affect the future results of QuinStreet in the period in which they are incurred; however, these costs are not expected to be incurred beyond 12 months from the Acquisition Date. The pro forma statements of operations for the periods presented reflect the effects of these non-recurring transaction costs.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in accordance with the acquisition method of accounting under GAAP, with QuinStreet as the acquirer of HomeBuddy. The acquisition method of accounting requires, among other things, that the assets acquired, and liabilities assumed in a business combination are measured and recognized at fair value as of the Acquisition Date. The excess of the purchase consideration over the fair value of assets acquired and liabilities assumed is allocated to goodwill. The purchase price allocation is preliminary and is based on management’s current estimates and assumptions. The final purchase price allocation may differ materially from the preliminary allocation reflected in the transaction accounting adjustments, as additional information becomes available and further analyses are performed. As a result, the final purchase price allocation may include changes to the amounts assigned to identifiable intangible assets and goodwill.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 forma financial information includes certain reclassifications to conform HomeBuddy’s historical accounting presentation to QuinStreet’s accounting presentation. The actual results of operations of the combined company will likely differ, perhaps materially, from the pro forma amounts reflected herein due to a variety of factors. The Company believes that its assumptions and methodologies provide a reasonable basis for presenting the significant effects of the Acquisition based on information available to management at this time, and that the pro forma transaction accounting adjustments give effect to those assumptions and are properly applied in the pro forma financial information.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 forma financial information does not give effect to any anticipated synergies, operating efficiencies, tax savings, or cost savings that may be associated with the Acquisition and the related transactions. The income tax effects of the pro forma adjustments did not result in a significant impact to the pro forma statements of operations. The effective tax rate of the combined company could be significantly different from that presented in these unaudited pro forma financial statements depending on post-business combination activities, including legal entity restructuring, repatriation decisions, and the geographical mix of taxable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balance sheet assumes that the Acquisition occurred on September 30, 2025. The pro forma statements of operations for the three months ended September 30, 2025, and for the year ended June 30, 2025 assumes that the Acquisition occurred as of July 1, 2024, and combines the historical results of QuinStreet and HomeBuddy giving pro forma effect for the periods then ended.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financial information has been prepared for illustrative purposes only and are not necessarily indicative of what the combined company’s financial position or results of operations would have been had the combination occurred as of the dates indicated. The pro forma financial information also should not be considered indicative of the future results of operations or financial position of QuinStreet.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End Difference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QuinStreet and HomeBuddy have differing fiscal year ends of June 30 and December 31.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the pro forma financial information, the periods presented for HomeBuddy are based on unaudited actual historical results for the three months ended September 30, 2025, and the twelve months ended June 30, 2025. The HomeBuddy periods presented align with QuinStreet’s reporting periods and do not create quarter differences, overlaps, or gaps in the pro forma presentation. The pro forma financial information was prepared as follows:</w:t>
      </w:r>
    </w:p>
    <w:p>
      <w:pPr>
        <w:spacing w:after="0" w:line="68" w:lineRule="exact"/>
        <w:rPr>
          <w:sz w:val="20"/>
          <w:szCs w:val="20"/>
          <w:color w:val="auto"/>
        </w:rPr>
      </w:pPr>
    </w:p>
    <w:p>
      <w:pPr>
        <w:jc w:val="both"/>
        <w:ind w:left="1260" w:hanging="743"/>
        <w:spacing w:after="0" w:line="266"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balance sheet as of September 30, 2025, combines the historical unaudited condensed consolidated balance sheet of QuinStreet as of September 30, 2025, with the historical unaudited condensed consolidated balance sheet of HomeBuddy as of September 30, 2025.</w:t>
      </w:r>
    </w:p>
    <w:p>
      <w:pPr>
        <w:spacing w:after="0" w:line="67" w:lineRule="exact"/>
        <w:rPr>
          <w:rFonts w:ascii="Times New Roman" w:cs="Times New Roman" w:eastAsia="Times New Roman" w:hAnsi="Times New Roman"/>
          <w:sz w:val="18"/>
          <w:szCs w:val="18"/>
          <w:color w:val="auto"/>
        </w:rPr>
      </w:pPr>
    </w:p>
    <w:p>
      <w:pPr>
        <w:jc w:val="both"/>
        <w:ind w:left="1260" w:hanging="743"/>
        <w:spacing w:after="0" w:line="256"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statements of operations for the three months ended September 30, 2025, combines QuinStreet’s historical unaudited condensed consolidated statement of operations for the three months ended September 30, 2025, with HomeBuddy’s historical unaudited condensed consolidated statement of operations for the three months ended September 30, 2025. HomeBuddy’s historical unaudited condensed consolidated statement of operations for the three months ended September 30, 2025 was prepared by subtracting the unaudited condensed consolidated statement of operations for the six months ended June 30, 2025 from the unaudited condensed consolidated statement of operations for the nine months ended September 30, 2025.</w:t>
      </w:r>
    </w:p>
    <w:p>
      <w:pPr>
        <w:spacing w:after="0" w:line="79" w:lineRule="exact"/>
        <w:rPr>
          <w:rFonts w:ascii="Times New Roman" w:cs="Times New Roman" w:eastAsia="Times New Roman" w:hAnsi="Times New Roman"/>
          <w:sz w:val="18"/>
          <w:szCs w:val="18"/>
          <w:color w:val="auto"/>
        </w:rPr>
      </w:pPr>
    </w:p>
    <w:p>
      <w:pPr>
        <w:jc w:val="both"/>
        <w:ind w:left="1260" w:hanging="743"/>
        <w:spacing w:after="0" w:line="256"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statements of operations for the year ended June 30, 2025, combines QuinStreet’s audited consolidated statement of operations for the year ended June 30, 2025, with HomeBuddy’s historical unaudited consolidated statement of operations for the twelve months ended June 30, 2025. HomeBuddy’s historical unaudited consolidated statement of operations for the twelve months ended June 30, 2025 was prepared by adding the audited consolidated statement of operations for the year ended December 31, 2024, and the unaudited condensed consolidated statement of operations for the six months ended June 30, 2025, and subtracting the unaudited condensed consolidated statement of operations for the six months ended June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Swiss Law to U.S. GAAP Conversion Adjustments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HomeBuddy’s historical consolidated balance sheet as of September 30, 2025, and statements of operations for the three months ended September 30, 2025, and for the twelve months ended June 30, 2025, have been prepared in accordance with Swiss law, which differs in certain material respects from U.S. GAAP. Although HomeBuddy is a Swiss entity, its reporting currency is the U.S. dollar. As a result, HomeBuddy’s financial statements are presented in U.S. dollars, and all pro forma adjustments have been calculated in U.S. dollars. No currency translation adjustments are necessary for the preparation of the pro forma financial information.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preparation of this pro forma financial information, management performed a preliminary analysis of HomeBuddy’s financial information to identify differences between Swiss law and U.S. GAAP, as well as differences in accounting policies compared to those of QuinStreet. The Company’s assessment is ongoing; however, at the time of preparing the pro forma financial information, other than the adjustments made herein, the Company is not aware of any other material differences. Management will complete its review of HomeBuddy’s financial information in order to determine if additional differences exist between Swiss law and U.S. GAAP, or if additional differences in accounting policies require adjustment to or reclassification of HomeBuddy’s results. This will ensure conformity with QuinStreet’s accounting policies and classifications, as required by acquisition accounting rules. Upon completion of its review, management may identify differences that, when conformed, could have a material impact on the pro forma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Refer to the table below for a summary of Swiss law to U.S. GAAP conversion adjustments and associated tax adjustments made to present HomeBuddy’s consolidated balance sheet as of September 30, 2025, on a basis consistent with that of QuinStreet’s condensed consolidated balance sheet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HomeBuddy Historical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HomeBuddy</w:t>
            </w:r>
          </w:p>
        </w:tc>
      </w:t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Swiss Law to U.S.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Historical Condensed</w:t>
            </w:r>
          </w:p>
        </w:tc>
      </w:t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Balance Sheet in Swiss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GAAP Conversion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Consolidated Balance</w:t>
            </w:r>
          </w:p>
        </w:tc>
      </w:tr>
      <w:tr>
        <w:trPr>
          <w:trHeight w:val="238"/>
        </w:trPr>
        <w:tc>
          <w:tcPr>
            <w:tcW w:w="2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Law</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Note 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Sheet in U.S. GAAP</w:t>
            </w:r>
          </w:p>
        </w:tc>
        <w:tc>
          <w:tcPr>
            <w:tcW w:w="120" w:type="dxa"/>
            <w:vAlign w:val="bottom"/>
          </w:tcPr>
          <w:p>
            <w:pPr>
              <w:spacing w:after="0"/>
              <w:rPr>
                <w:sz w:val="20"/>
                <w:szCs w:val="20"/>
                <w:color w:val="auto"/>
              </w:rPr>
            </w:pPr>
          </w:p>
        </w:tc>
      </w:tr>
      <w:tr>
        <w:trPr>
          <w:trHeight w:val="210"/>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(2,089)</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2(a)</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120" w:type="dxa"/>
            <w:vAlign w:val="bottom"/>
            <w:shd w:val="clear" w:color="auto" w:fill="CFF0FC"/>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2(b)</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Voluntary retained earnings</w:t>
            </w:r>
          </w:p>
        </w:tc>
        <w:tc>
          <w:tcPr>
            <w:tcW w:w="14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(2,089)</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2(a)</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18,676</w:t>
            </w:r>
          </w:p>
        </w:tc>
        <w:tc>
          <w:tcPr>
            <w:tcW w:w="120" w:type="dxa"/>
            <w:vAlign w:val="bottom"/>
            <w:shd w:val="clear" w:color="auto" w:fill="CFF0FC"/>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2(b)</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bl>
    <w:p>
      <w:pPr>
        <w:spacing w:after="0" w:line="225" w:lineRule="exact"/>
        <w:rPr>
          <w:sz w:val="20"/>
          <w:szCs w:val="20"/>
          <w:color w:val="auto"/>
        </w:rPr>
      </w:pPr>
    </w:p>
    <w:p>
      <w:pPr>
        <w:jc w:val="both"/>
        <w:ind w:left="580" w:hanging="579"/>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2(a)</w:t>
      </w:r>
      <w:r>
        <w:rPr>
          <w:sz w:val="20"/>
          <w:szCs w:val="20"/>
          <w:color w:val="auto"/>
        </w:rPr>
        <w:tab/>
      </w:r>
      <w:r>
        <w:rPr>
          <w:rFonts w:ascii="Times New Roman" w:cs="Times New Roman" w:eastAsia="Times New Roman" w:hAnsi="Times New Roman"/>
          <w:sz w:val="18"/>
          <w:szCs w:val="18"/>
          <w:color w:val="auto"/>
        </w:rPr>
        <w:t>Reflects an adjustment to conform the accounting for internally developed software costs from Swiss law to U.S. GAAP. Certain software development–related costs capitalized under Swiss law were determined not to qualify for capitalization under U.S. GAAP and were therefore removed from capitalized software. Additionally, the useful life was adjusted to conform to QuinStreet’s accounting policy.</w:t>
      </w: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2(b)</w:t>
      </w:r>
      <w:r>
        <w:rPr>
          <w:sz w:val="20"/>
          <w:szCs w:val="20"/>
          <w:color w:val="auto"/>
        </w:rPr>
        <w:tab/>
      </w:r>
      <w:r>
        <w:rPr>
          <w:rFonts w:ascii="Times New Roman" w:cs="Times New Roman" w:eastAsia="Times New Roman" w:hAnsi="Times New Roman"/>
          <w:sz w:val="18"/>
          <w:szCs w:val="18"/>
          <w:color w:val="auto"/>
        </w:rPr>
        <w:t>Reflects recalculation of deferred taxes under U.S. GAAP.</w:t>
      </w: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the table below for a summary of Swiss law to U.S. GAAP conversion adjustments made to present HomeBuddy’s condensed consolidated statement of operations for the three months ended September 30, 2025, on a basis consistent with that of QuinStreet’s statement of operations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HomeBuddy</w:t>
            </w:r>
          </w:p>
        </w:tc>
      </w:t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Historical Condensed</w:t>
            </w:r>
          </w:p>
        </w:tc>
      </w:t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HomeBuddy Historical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Swiss Law to U.S.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Statement of</w:t>
            </w:r>
          </w:p>
        </w:tc>
      </w:t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GAAP Conversion</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Operations in U.S.</w:t>
            </w:r>
          </w:p>
        </w:tc>
      </w:tr>
      <w:tr>
        <w:trPr>
          <w:trHeight w:val="238"/>
        </w:trPr>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 Swiss Law</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Note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GAAP</w:t>
            </w:r>
          </w:p>
        </w:tc>
      </w:tr>
      <w:tr>
        <w:trPr>
          <w:trHeight w:val="191"/>
        </w:trPr>
        <w:tc>
          <w:tcPr>
            <w:tcW w:w="29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Depreciation and valuation</w:t>
            </w:r>
          </w:p>
        </w:tc>
        <w:tc>
          <w:tcPr>
            <w:tcW w:w="140" w:type="dxa"/>
            <w:vAlign w:val="bottom"/>
            <w:tcBorders>
              <w:top w:val="single" w:sz="8" w:color="auto"/>
            </w:tcBorders>
            <w:shd w:val="clear" w:color="auto" w:fill="CFF0FC"/>
          </w:tcPr>
          <w:p>
            <w:pPr>
              <w:spacing w:after="0"/>
              <w:rPr>
                <w:sz w:val="16"/>
                <w:szCs w:val="16"/>
                <w:color w:val="auto"/>
              </w:rPr>
            </w:pPr>
          </w:p>
        </w:tc>
        <w:tc>
          <w:tcPr>
            <w:tcW w:w="21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7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8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34"/>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on fixed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2(c)</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FF0FC"/>
          </w:tcPr>
          <w:p>
            <w:pPr>
              <w:spacing w:after="0"/>
              <w:rPr>
                <w:sz w:val="20"/>
                <w:szCs w:val="20"/>
                <w:color w:val="auto"/>
              </w:rPr>
            </w:pPr>
          </w:p>
        </w:tc>
      </w:tr>
    </w:tbl>
    <w:p>
      <w:pPr>
        <w:spacing w:after="0" w:line="225" w:lineRule="exact"/>
        <w:rPr>
          <w:sz w:val="20"/>
          <w:szCs w:val="20"/>
          <w:color w:val="auto"/>
        </w:rPr>
      </w:pPr>
    </w:p>
    <w:p>
      <w:pPr>
        <w:jc w:val="both"/>
        <w:ind w:left="580" w:hanging="579"/>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2(c)</w:t>
      </w:r>
      <w:r>
        <w:rPr>
          <w:sz w:val="20"/>
          <w:szCs w:val="20"/>
          <w:color w:val="auto"/>
        </w:rPr>
        <w:tab/>
      </w:r>
      <w:r>
        <w:rPr>
          <w:rFonts w:ascii="Times New Roman" w:cs="Times New Roman" w:eastAsia="Times New Roman" w:hAnsi="Times New Roman"/>
          <w:sz w:val="18"/>
          <w:szCs w:val="18"/>
          <w:color w:val="auto"/>
        </w:rPr>
        <w:t>Reflects a net adjustment to expense a portion of capitalized software development costs under Swiss law, offset by a decrease in amortization expense to conform the accounting for internally developed software costs from Swiss law to U.S. GAAP.</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the table below for a summary of Swiss law to U.S. GAAP conversion adjustments made to present HomeBuddy’s condensed consolidated statement of operations for the year ended June 30, 2025, on a basis consistent with that of QuinStreet’s statement of operations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HomeBuddy</w:t>
            </w:r>
          </w:p>
        </w:tc>
      </w:t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Historical Condensed</w:t>
            </w:r>
          </w:p>
        </w:tc>
      </w:t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HomeBuddy Historical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Condensed Consolidated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Swiss Law to U.S.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Statement of</w:t>
            </w:r>
          </w:p>
        </w:tc>
      </w:tr>
      <w:tr>
        <w:trPr>
          <w:trHeight w:val="216"/>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GAAP Conversion</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Operations in U.S.</w:t>
            </w:r>
          </w:p>
        </w:tc>
      </w:tr>
      <w:tr>
        <w:trPr>
          <w:trHeight w:val="238"/>
        </w:trPr>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 Swiss Law</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Note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GAAP</w:t>
            </w:r>
          </w:p>
        </w:tc>
      </w:tr>
      <w:tr>
        <w:trPr>
          <w:trHeight w:val="191"/>
        </w:trPr>
        <w:tc>
          <w:tcPr>
            <w:tcW w:w="29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Depreciation and valuation</w:t>
            </w:r>
          </w:p>
        </w:tc>
        <w:tc>
          <w:tcPr>
            <w:tcW w:w="140" w:type="dxa"/>
            <w:vAlign w:val="bottom"/>
            <w:tcBorders>
              <w:top w:val="single" w:sz="8" w:color="auto"/>
            </w:tcBorders>
            <w:shd w:val="clear" w:color="auto" w:fill="CFF0FC"/>
          </w:tcPr>
          <w:p>
            <w:pPr>
              <w:spacing w:after="0"/>
              <w:rPr>
                <w:sz w:val="16"/>
                <w:szCs w:val="16"/>
                <w:color w:val="auto"/>
              </w:rPr>
            </w:pPr>
          </w:p>
        </w:tc>
        <w:tc>
          <w:tcPr>
            <w:tcW w:w="21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7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8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34"/>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on fixed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shd w:val="clear" w:color="auto" w:fill="CFF0FC"/>
          </w:tcPr>
          <w:p>
            <w:pPr>
              <w:spacing w:after="0"/>
              <w:rPr>
                <w:sz w:val="20"/>
                <w:szCs w:val="20"/>
                <w:color w:val="auto"/>
              </w:rPr>
            </w:pP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2(d)</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20" w:type="dxa"/>
            <w:vAlign w:val="bottom"/>
            <w:shd w:val="clear" w:color="auto" w:fill="CFF0FC"/>
          </w:tcPr>
          <w:p>
            <w:pPr>
              <w:spacing w:after="0"/>
              <w:rPr>
                <w:sz w:val="20"/>
                <w:szCs w:val="20"/>
                <w:color w:val="auto"/>
              </w:rPr>
            </w:pPr>
          </w:p>
        </w:tc>
      </w:tr>
    </w:tbl>
    <w:p>
      <w:pPr>
        <w:spacing w:after="0" w:line="252" w:lineRule="exact"/>
        <w:rPr>
          <w:sz w:val="20"/>
          <w:szCs w:val="20"/>
          <w:color w:val="auto"/>
        </w:rPr>
      </w:pPr>
    </w:p>
    <w:p>
      <w:pPr>
        <w:jc w:val="both"/>
        <w:ind w:left="580" w:hanging="579"/>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2(d)</w:t>
      </w:r>
      <w:r>
        <w:rPr>
          <w:sz w:val="20"/>
          <w:szCs w:val="20"/>
          <w:color w:val="auto"/>
        </w:rPr>
        <w:tab/>
      </w:r>
      <w:r>
        <w:rPr>
          <w:rFonts w:ascii="Times New Roman" w:cs="Times New Roman" w:eastAsia="Times New Roman" w:hAnsi="Times New Roman"/>
          <w:sz w:val="18"/>
          <w:szCs w:val="18"/>
          <w:color w:val="auto"/>
        </w:rPr>
        <w:t>Reflects a net adjustment to expense a portion of capitalized software development costs under Swiss law, offset by a decrease in amortization expense to conform the accounting for internally developed software costs from Swiss law to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3: Reclassification Adjustments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reclassifications are reflected in the pro forma balance sheet and pro forma statements of operations to conform presentation between QuinStreet and HomeBuddy. These reclassifications have no effect on previously reported total assets, total liabilities and shareholders’ equity, or net income of QuinStreet or HomeBuddy. The pro forma financial information may not reflect all reclassifications necessary to conform HomeBuddy’s presentation to that of QuinStreet due to limitations on the availability of information as of the date of this current report. Additional reclassification adjustments may be identified as more information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table below for a summary of identified reclassification adjustments made to present HomeBuddy’s condensed consolidated balance sheet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to conform presentation to that of QuinStreet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HomeBuddy</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HomeBuddy</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Balance Sheet -</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QuinStreet, Inc.</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After</w:t>
            </w:r>
          </w:p>
        </w:tc>
        <w:tc>
          <w:tcPr>
            <w:tcW w:w="0" w:type="dxa"/>
            <w:vAlign w:val="bottom"/>
          </w:tcPr>
          <w:p>
            <w:pPr>
              <w:spacing w:after="0"/>
              <w:rPr>
                <w:sz w:val="1"/>
                <w:szCs w:val="1"/>
                <w:color w:val="auto"/>
              </w:rPr>
            </w:pPr>
          </w:p>
        </w:tc>
      </w:tr>
      <w:tr>
        <w:trPr>
          <w:trHeight w:val="203"/>
        </w:trPr>
        <w:tc>
          <w:tcPr>
            <w:tcW w:w="20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HomeBuddy Balance</w:t>
            </w:r>
          </w:p>
        </w:tc>
        <w:tc>
          <w:tcPr>
            <w:tcW w:w="12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Consolidated Balance</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Reclassification</w:t>
            </w:r>
          </w:p>
        </w:tc>
        <w:tc>
          <w:tcPr>
            <w:tcW w:w="0" w:type="dxa"/>
            <w:vAlign w:val="bottom"/>
          </w:tcPr>
          <w:p>
            <w:pPr>
              <w:spacing w:after="0"/>
              <w:rPr>
                <w:sz w:val="1"/>
                <w:szCs w:val="1"/>
                <w:color w:val="auto"/>
              </w:rPr>
            </w:pPr>
          </w:p>
        </w:tc>
      </w:tr>
      <w:tr>
        <w:trPr>
          <w:trHeight w:val="215"/>
        </w:trPr>
        <w:tc>
          <w:tcPr>
            <w:tcW w:w="20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Sheet Line Items</w:t>
            </w:r>
          </w:p>
        </w:tc>
        <w:tc>
          <w:tcPr>
            <w:tcW w:w="120" w:type="dxa"/>
            <w:vAlign w:val="bottom"/>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Sheet Line Items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Sheet in U.S. GAAP</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Reclassification</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 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11,138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Trade accounts receivables</w:t>
            </w:r>
          </w:p>
        </w:tc>
        <w:tc>
          <w:tcPr>
            <w:tcW w:w="12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20" w:type="dxa"/>
            <w:vAlign w:val="bottom"/>
          </w:tcPr>
          <w:p>
            <w:pPr>
              <w:spacing w:after="0"/>
              <w:rPr>
                <w:sz w:val="17"/>
                <w:szCs w:val="17"/>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3(a)</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short-term receivables</w:t>
            </w:r>
          </w:p>
        </w:tc>
        <w:tc>
          <w:tcPr>
            <w:tcW w:w="12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(396)</w:t>
            </w:r>
          </w:p>
        </w:tc>
        <w:tc>
          <w:tcPr>
            <w:tcW w:w="1060" w:type="dxa"/>
            <w:vAlign w:val="bottom"/>
            <w:gridSpan w:val="3"/>
            <w:shd w:val="clear" w:color="auto" w:fill="CFF0FC"/>
          </w:tcPr>
          <w:p>
            <w:pPr>
              <w:jc w:val="center"/>
              <w:ind w:right="300"/>
              <w:spacing w:after="0"/>
              <w:rPr>
                <w:sz w:val="20"/>
                <w:szCs w:val="20"/>
                <w:color w:val="auto"/>
              </w:rPr>
            </w:pPr>
            <w:r>
              <w:rPr>
                <w:rFonts w:ascii="Times New Roman" w:cs="Times New Roman" w:eastAsia="Times New Roman" w:hAnsi="Times New Roman"/>
                <w:sz w:val="16"/>
                <w:szCs w:val="16"/>
                <w:color w:val="auto"/>
              </w:rPr>
              <w:t>3(a)</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(317)</w:t>
            </w: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3(b)</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expense and accrued</w:t>
            </w:r>
          </w:p>
        </w:tc>
        <w:tc>
          <w:tcPr>
            <w:tcW w:w="120" w:type="dxa"/>
            <w:vAlign w:val="bottom"/>
            <w:shd w:val="clear" w:color="auto" w:fill="CFF0FC"/>
          </w:tcPr>
          <w:p>
            <w:pPr>
              <w:spacing w:after="0"/>
              <w:rPr>
                <w:sz w:val="16"/>
                <w:szCs w:val="16"/>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w:t>
            </w:r>
          </w:p>
        </w:tc>
        <w:tc>
          <w:tcPr>
            <w:tcW w:w="120" w:type="dxa"/>
            <w:vAlign w:val="bottom"/>
            <w:tcBorders>
              <w:bottom w:val="single" w:sz="8" w:color="CFF0FC"/>
            </w:tcBorders>
            <w:shd w:val="clear" w:color="auto" w:fill="CFF0FC"/>
          </w:tcPr>
          <w:p>
            <w:pPr>
              <w:spacing w:after="0"/>
              <w:rPr>
                <w:sz w:val="17"/>
                <w:szCs w:val="17"/>
                <w:color w:val="auto"/>
              </w:rPr>
            </w:pPr>
          </w:p>
        </w:tc>
        <w:tc>
          <w:tcPr>
            <w:tcW w:w="2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86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vMerge w:val="continue"/>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3(b)</w:t>
            </w: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20,751</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20,751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Intangibles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12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tax assets, noncurrent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 noncurrent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30,732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30,732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120" w:type="dxa"/>
            <w:vAlign w:val="bottom"/>
            <w:tcBorders>
              <w:top w:val="single" w:sz="8" w:color="CFF0FC"/>
            </w:tcBorders>
          </w:tcPr>
          <w:p>
            <w:pPr>
              <w:spacing w:after="0"/>
              <w:rPr>
                <w:sz w:val="17"/>
                <w:szCs w:val="17"/>
                <w:color w:val="auto"/>
              </w:rPr>
            </w:pPr>
          </w:p>
        </w:tc>
        <w:tc>
          <w:tcPr>
            <w:tcW w:w="2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7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expense and deferred</w:t>
            </w:r>
          </w:p>
        </w:tc>
        <w:tc>
          <w:tcPr>
            <w:tcW w:w="120" w:type="dxa"/>
            <w:vAlign w:val="bottom"/>
            <w:shd w:val="clear" w:color="auto" w:fill="CFF0FC"/>
          </w:tcPr>
          <w:p>
            <w:pPr>
              <w:spacing w:after="0"/>
              <w:rPr>
                <w:sz w:val="16"/>
                <w:szCs w:val="16"/>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2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center"/>
              <w:ind w:right="300"/>
              <w:spacing w:after="0"/>
              <w:rPr>
                <w:sz w:val="20"/>
                <w:szCs w:val="20"/>
                <w:color w:val="auto"/>
              </w:rPr>
            </w:pPr>
            <w:r>
              <w:rPr>
                <w:rFonts w:ascii="Times New Roman" w:cs="Times New Roman" w:eastAsia="Times New Roman" w:hAnsi="Times New Roman"/>
                <w:sz w:val="16"/>
                <w:szCs w:val="16"/>
                <w:color w:val="auto"/>
              </w:rPr>
              <w:t>3(c)</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Short-term provisions for</w:t>
            </w:r>
          </w:p>
        </w:tc>
        <w:tc>
          <w:tcPr>
            <w:tcW w:w="120" w:type="dxa"/>
            <w:vAlign w:val="bottom"/>
            <w:shd w:val="clear" w:color="auto" w:fill="CFF0FC"/>
          </w:tcPr>
          <w:p>
            <w:pPr>
              <w:spacing w:after="0"/>
              <w:rPr>
                <w:sz w:val="16"/>
                <w:szCs w:val="16"/>
                <w:color w:val="auto"/>
              </w:rPr>
            </w:pPr>
          </w:p>
        </w:tc>
        <w:tc>
          <w:tcPr>
            <w:tcW w:w="2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(1,875)</w:t>
            </w:r>
          </w:p>
        </w:tc>
        <w:tc>
          <w:tcPr>
            <w:tcW w:w="1060" w:type="dxa"/>
            <w:vAlign w:val="bottom"/>
            <w:gridSpan w:val="3"/>
            <w:shd w:val="clear" w:color="auto" w:fill="CFF0FC"/>
          </w:tcPr>
          <w:p>
            <w:pPr>
              <w:jc w:val="center"/>
              <w:ind w:right="300"/>
              <w:spacing w:after="0"/>
              <w:rPr>
                <w:sz w:val="20"/>
                <w:szCs w:val="20"/>
                <w:color w:val="auto"/>
              </w:rPr>
            </w:pPr>
            <w:r>
              <w:rPr>
                <w:rFonts w:ascii="Times New Roman" w:cs="Times New Roman" w:eastAsia="Times New Roman" w:hAnsi="Times New Roman"/>
                <w:sz w:val="16"/>
                <w:szCs w:val="16"/>
                <w:color w:val="auto"/>
              </w:rPr>
              <w:t>3(c)</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noncurrent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15,735</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15,735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12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Participation capital</w:t>
            </w:r>
          </w:p>
        </w:tc>
        <w:tc>
          <w:tcPr>
            <w:tcW w:w="12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other</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Legal retained earnings</w:t>
            </w: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w:t>
            </w: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3(d)</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Treasury shares</w:t>
            </w:r>
          </w:p>
        </w:tc>
        <w:tc>
          <w:tcPr>
            <w:tcW w:w="12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Treasury stock</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(2,667)</w:t>
            </w:r>
          </w:p>
        </w:tc>
        <w:tc>
          <w:tcPr>
            <w:tcW w:w="22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(1,214)</w:t>
            </w:r>
          </w:p>
        </w:tc>
        <w:tc>
          <w:tcPr>
            <w:tcW w:w="1060" w:type="dxa"/>
            <w:vAlign w:val="bottom"/>
            <w:gridSpan w:val="3"/>
            <w:shd w:val="clear" w:color="auto" w:fill="CFF0FC"/>
          </w:tcPr>
          <w:p>
            <w:pPr>
              <w:jc w:val="center"/>
              <w:ind w:right="300"/>
              <w:spacing w:after="0"/>
              <w:rPr>
                <w:sz w:val="20"/>
                <w:szCs w:val="20"/>
                <w:color w:val="auto"/>
              </w:rPr>
            </w:pPr>
            <w:r>
              <w:rPr>
                <w:rFonts w:ascii="Times New Roman" w:cs="Times New Roman" w:eastAsia="Times New Roman" w:hAnsi="Times New Roman"/>
                <w:sz w:val="16"/>
                <w:szCs w:val="16"/>
                <w:color w:val="auto"/>
              </w:rPr>
              <w:t>3(e)</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(3,881)</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Treasury participation</w:t>
            </w: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certificates</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(1,214)</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22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3(e)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Voluntary retained earnings</w:t>
            </w:r>
          </w:p>
        </w:tc>
        <w:tc>
          <w:tcPr>
            <w:tcW w:w="120" w:type="dxa"/>
            <w:vAlign w:val="bottom"/>
            <w:tcBorders>
              <w:bottom w:val="single" w:sz="8" w:color="CFF0FC"/>
            </w:tcBorders>
            <w:shd w:val="clear" w:color="auto" w:fill="CFF0FC"/>
          </w:tcPr>
          <w:p>
            <w:pPr>
              <w:spacing w:after="0"/>
              <w:rPr>
                <w:sz w:val="17"/>
                <w:szCs w:val="17"/>
                <w:color w:val="auto"/>
              </w:rPr>
            </w:pPr>
          </w:p>
        </w:tc>
        <w:tc>
          <w:tcPr>
            <w:tcW w:w="2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(deficit) surplus</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18,676</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3(d)</w:t>
            </w: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18,743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14,997</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120" w:type="dxa"/>
            <w:vAlign w:val="bottom"/>
            <w:shd w:val="clear" w:color="auto" w:fill="CFF0FC"/>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liabilities and</w:t>
            </w:r>
          </w:p>
        </w:tc>
        <w:tc>
          <w:tcPr>
            <w:tcW w:w="3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30,732</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2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30,732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00" w:type="dxa"/>
            <w:vAlign w:val="bottom"/>
            <w:gridSpan w:val="2"/>
            <w:vMerge w:val="continue"/>
            <w:shd w:val="clear" w:color="auto" w:fill="CFF0FC"/>
          </w:tcPr>
          <w:p>
            <w:pPr>
              <w:spacing w:after="0"/>
              <w:rPr>
                <w:sz w:val="17"/>
                <w:szCs w:val="17"/>
                <w:color w:val="auto"/>
              </w:rPr>
            </w:pPr>
          </w:p>
        </w:tc>
        <w:tc>
          <w:tcPr>
            <w:tcW w:w="186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3"/>
            <w:vMerge w:val="continue"/>
            <w:shd w:val="clear" w:color="auto" w:fill="CFF0FC"/>
          </w:tcPr>
          <w:p>
            <w:pPr>
              <w:spacing w:after="0"/>
              <w:rPr>
                <w:sz w:val="17"/>
                <w:szCs w:val="17"/>
                <w:color w:val="auto"/>
              </w:rPr>
            </w:pPr>
          </w:p>
        </w:tc>
        <w:tc>
          <w:tcPr>
            <w:tcW w:w="144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-4053840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-4053840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-4053840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-2870835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-2870835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-1704975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-1704975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-401955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-401955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3(a)</w:t>
      </w:r>
      <w:r>
        <w:rPr>
          <w:sz w:val="20"/>
          <w:szCs w:val="20"/>
          <w:color w:val="auto"/>
        </w:rPr>
        <w:tab/>
      </w:r>
      <w:r>
        <w:rPr>
          <w:rFonts w:ascii="Times New Roman" w:cs="Times New Roman" w:eastAsia="Times New Roman" w:hAnsi="Times New Roman"/>
          <w:sz w:val="18"/>
          <w:szCs w:val="18"/>
          <w:color w:val="auto"/>
        </w:rPr>
        <w:t>Reflects the reclassification of other short-term receivables to 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ind w:left="580" w:right="20" w:hanging="579"/>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3(b)</w:t>
      </w:r>
      <w:r>
        <w:rPr>
          <w:sz w:val="20"/>
          <w:szCs w:val="20"/>
          <w:color w:val="auto"/>
        </w:rPr>
        <w:tab/>
      </w:r>
      <w:r>
        <w:rPr>
          <w:rFonts w:ascii="Times New Roman" w:cs="Times New Roman" w:eastAsia="Times New Roman" w:hAnsi="Times New Roman"/>
          <w:sz w:val="18"/>
          <w:szCs w:val="18"/>
          <w:color w:val="auto"/>
        </w:rPr>
        <w:t>Reflects the reclassification of other short-term receivables associated with reimbursement requests and other assets to prepaid expense and other assets.</w:t>
      </w: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3(c)</w:t>
      </w:r>
      <w:r>
        <w:rPr>
          <w:sz w:val="20"/>
          <w:szCs w:val="20"/>
          <w:color w:val="auto"/>
        </w:rPr>
        <w:tab/>
      </w:r>
      <w:r>
        <w:rPr>
          <w:rFonts w:ascii="Times New Roman" w:cs="Times New Roman" w:eastAsia="Times New Roman" w:hAnsi="Times New Roman"/>
          <w:sz w:val="18"/>
          <w:szCs w:val="18"/>
          <w:color w:val="auto"/>
        </w:rPr>
        <w:t>Reflects the reclassification of short-term provision of income tax to accrued liabilities.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3(d)</w:t>
      </w:r>
      <w:r>
        <w:rPr>
          <w:sz w:val="20"/>
          <w:szCs w:val="20"/>
          <w:color w:val="auto"/>
        </w:rPr>
        <w:tab/>
      </w:r>
      <w:r>
        <w:rPr>
          <w:rFonts w:ascii="Times New Roman" w:cs="Times New Roman" w:eastAsia="Times New Roman" w:hAnsi="Times New Roman"/>
          <w:sz w:val="18"/>
          <w:szCs w:val="18"/>
          <w:color w:val="auto"/>
        </w:rPr>
        <w:t>Reflects the reclassification of legal retained earnings to accumulated (deficit) surplus.</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3(e)</w:t>
      </w:r>
      <w:r>
        <w:rPr>
          <w:sz w:val="20"/>
          <w:szCs w:val="20"/>
          <w:color w:val="auto"/>
        </w:rPr>
        <w:tab/>
      </w:r>
      <w:r>
        <w:rPr>
          <w:rFonts w:ascii="Times New Roman" w:cs="Times New Roman" w:eastAsia="Times New Roman" w:hAnsi="Times New Roman"/>
          <w:sz w:val="18"/>
          <w:szCs w:val="18"/>
          <w:color w:val="auto"/>
        </w:rPr>
        <w:t>Reflects the reclassification of treasury participation certificates to treasury stock.</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 to the table below for a summary of identified reclassification adjustments made to present HomeBuddy’s condensed consolidated statement of operations for the three months ended September 30, 2025, to conform presentation to that of QuinStreet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HomeBuddy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HomeBuddy</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Condensed Historical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HomeBuddy</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QuinStreet, Inc.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Group Condensed</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Statement of</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Statement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Historical - After</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Operations Line</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Statement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Operations in U.S.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Reclassification</w:t>
            </w:r>
          </w:p>
        </w:tc>
        <w:tc>
          <w:tcPr>
            <w:tcW w:w="0" w:type="dxa"/>
            <w:vAlign w:val="bottom"/>
          </w:tcPr>
          <w:p>
            <w:pPr>
              <w:spacing w:after="0"/>
              <w:rPr>
                <w:sz w:val="1"/>
                <w:szCs w:val="1"/>
                <w:color w:val="auto"/>
              </w:rPr>
            </w:pPr>
          </w:p>
        </w:tc>
      </w:tr>
      <w:tr>
        <w:trPr>
          <w:trHeight w:val="238"/>
        </w:trPr>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Items</w:t>
            </w:r>
          </w:p>
        </w:tc>
        <w:tc>
          <w:tcPr>
            <w:tcW w:w="12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Operations Line Items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200" w:type="dxa"/>
            <w:vAlign w:val="bottom"/>
          </w:tcPr>
          <w:p>
            <w:pPr>
              <w:spacing w:after="0"/>
              <w:rPr>
                <w:sz w:val="20"/>
                <w:szCs w:val="20"/>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 from services</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42,677</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3(f)</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Direct services expense</w:t>
            </w:r>
          </w:p>
        </w:tc>
        <w:tc>
          <w:tcPr>
            <w:tcW w:w="1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3(f)</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3(j)</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3(h)</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3(i)</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9,475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2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3(i)</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3(g)</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3(h)</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3(g)</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3(i)</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3(k)</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3(h)</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and valuation</w:t>
            </w: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(791)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3(j)</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2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adjustments on fixed assets</w:t>
            </w: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6,549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w:t>
            </w: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3(k)</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3(l)</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1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Income (loss) before</w:t>
            </w:r>
          </w:p>
        </w:tc>
        <w:tc>
          <w:tcPr>
            <w:tcW w:w="1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9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6,737</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5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5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vMerge w:val="continue"/>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Direct taxes</w:t>
            </w:r>
          </w:p>
        </w:tc>
        <w:tc>
          <w:tcPr>
            <w:tcW w:w="120" w:type="dxa"/>
            <w:vAlign w:val="bottom"/>
          </w:tcPr>
          <w:p>
            <w:pPr>
              <w:spacing w:after="0"/>
              <w:rPr>
                <w:sz w:val="16"/>
                <w:szCs w:val="16"/>
                <w:color w:val="auto"/>
              </w:rPr>
            </w:pPr>
          </w:p>
        </w:tc>
        <w:tc>
          <w:tcPr>
            <w:tcW w:w="2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(Provision for) benefit from</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21"/>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5,808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-3188335</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-3188335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-1396365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-1396365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-427990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-427990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-8255</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3(f)</w:t>
      </w:r>
      <w:r>
        <w:rPr>
          <w:sz w:val="20"/>
          <w:szCs w:val="20"/>
          <w:color w:val="auto"/>
        </w:rPr>
        <w:tab/>
      </w:r>
      <w:r>
        <w:rPr>
          <w:rFonts w:ascii="Times New Roman" w:cs="Times New Roman" w:eastAsia="Times New Roman" w:hAnsi="Times New Roman"/>
          <w:sz w:val="18"/>
          <w:szCs w:val="18"/>
          <w:color w:val="auto"/>
        </w:rPr>
        <w:t>Reflects the reclassification of fees recorded against net revenue from services to cost of revenue and general and administrative.</w:t>
      </w:r>
    </w:p>
    <w:p>
      <w:pPr>
        <w:spacing w:after="0" w:line="5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3(g)</w:t>
      </w:r>
      <w:r>
        <w:rPr>
          <w:sz w:val="20"/>
          <w:szCs w:val="20"/>
          <w:color w:val="auto"/>
        </w:rPr>
        <w:tab/>
      </w:r>
      <w:r>
        <w:rPr>
          <w:rFonts w:ascii="Times New Roman" w:cs="Times New Roman" w:eastAsia="Times New Roman" w:hAnsi="Times New Roman"/>
          <w:sz w:val="18"/>
          <w:szCs w:val="18"/>
          <w:color w:val="auto"/>
        </w:rPr>
        <w:t>Reflects the reclassification from direct service expense to product development, sales and marketing, and general and administrative.</w:t>
      </w:r>
    </w:p>
    <w:p>
      <w:pPr>
        <w:spacing w:after="0" w:line="5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3(h)</w:t>
      </w:r>
      <w:r>
        <w:rPr>
          <w:sz w:val="20"/>
          <w:szCs w:val="20"/>
          <w:color w:val="auto"/>
        </w:rPr>
        <w:tab/>
      </w:r>
      <w:r>
        <w:rPr>
          <w:rFonts w:ascii="Times New Roman" w:cs="Times New Roman" w:eastAsia="Times New Roman" w:hAnsi="Times New Roman"/>
          <w:sz w:val="18"/>
          <w:szCs w:val="18"/>
          <w:color w:val="auto"/>
        </w:rPr>
        <w:t>Reflects the reclassification from other operating expenses to cost of revenue, product development, and sales and marketing.</w:t>
      </w:r>
    </w:p>
    <w:p>
      <w:pPr>
        <w:spacing w:after="0" w:line="5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3(i)</w:t>
      </w:r>
      <w:r>
        <w:rPr>
          <w:sz w:val="20"/>
          <w:szCs w:val="20"/>
          <w:color w:val="auto"/>
        </w:rPr>
        <w:tab/>
      </w:r>
      <w:r>
        <w:rPr>
          <w:rFonts w:ascii="Times New Roman" w:cs="Times New Roman" w:eastAsia="Times New Roman" w:hAnsi="Times New Roman"/>
          <w:sz w:val="18"/>
          <w:szCs w:val="18"/>
          <w:color w:val="auto"/>
        </w:rPr>
        <w:t>Reflects the reclassification from personnel expenses to cost of revenue and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spacing w:after="0"/>
        <w:tabs>
          <w:tab w:leader="none" w:pos="560" w:val="left"/>
        </w:tabs>
        <w:rPr>
          <w:sz w:val="20"/>
          <w:szCs w:val="20"/>
          <w:color w:val="auto"/>
        </w:rPr>
      </w:pPr>
      <w:r>
        <w:rPr>
          <w:rFonts w:ascii="Times New Roman" w:cs="Times New Roman" w:eastAsia="Times New Roman" w:hAnsi="Times New Roman"/>
          <w:sz w:val="18"/>
          <w:szCs w:val="18"/>
          <w:color w:val="auto"/>
        </w:rPr>
        <w:t>3(j)</w:t>
      </w:r>
      <w:r>
        <w:rPr>
          <w:sz w:val="20"/>
          <w:szCs w:val="20"/>
          <w:color w:val="auto"/>
        </w:rPr>
        <w:tab/>
      </w:r>
      <w:r>
        <w:rPr>
          <w:rFonts w:ascii="Times New Roman" w:cs="Times New Roman" w:eastAsia="Times New Roman" w:hAnsi="Times New Roman"/>
          <w:sz w:val="18"/>
          <w:szCs w:val="18"/>
          <w:color w:val="auto"/>
        </w:rPr>
        <w:t>Reflects the reclassification from depreciation and valuation adjustments on fixed assets to cost of revenue.</w:t>
      </w:r>
    </w:p>
    <w:p>
      <w:pPr>
        <w:spacing w:after="0" w:line="5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3(k)</w:t>
      </w:r>
      <w:r>
        <w:rPr>
          <w:sz w:val="20"/>
          <w:szCs w:val="20"/>
          <w:color w:val="auto"/>
        </w:rPr>
        <w:tab/>
      </w:r>
      <w:r>
        <w:rPr>
          <w:rFonts w:ascii="Times New Roman" w:cs="Times New Roman" w:eastAsia="Times New Roman" w:hAnsi="Times New Roman"/>
          <w:sz w:val="18"/>
          <w:szCs w:val="18"/>
          <w:color w:val="auto"/>
        </w:rPr>
        <w:t>Reflects the reclassification from expenses recorded in interest expense to general and administrative and other income (expense), net.</w:t>
      </w:r>
    </w:p>
    <w:p>
      <w:pPr>
        <w:spacing w:after="0" w:line="5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3(l)</w:t>
      </w:r>
      <w:r>
        <w:rPr>
          <w:sz w:val="20"/>
          <w:szCs w:val="20"/>
          <w:color w:val="auto"/>
        </w:rPr>
        <w:tab/>
      </w:r>
      <w:r>
        <w:rPr>
          <w:rFonts w:ascii="Times New Roman" w:cs="Times New Roman" w:eastAsia="Times New Roman" w:hAnsi="Times New Roman"/>
          <w:sz w:val="18"/>
          <w:szCs w:val="18"/>
          <w:color w:val="auto"/>
        </w:rPr>
        <w:t>Reflects the reclassification of financial income to other income (expense), net.</w:t>
      </w:r>
    </w:p>
    <w:p>
      <w:pPr>
        <w:spacing w:after="0" w:line="2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 to the table below for a summary of identified reclassification adjustments made to present HomeBuddy’s condensed consolidated statement of operations for the year ended June 30, 2025, to conform presentation to that of QuinStreet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HomeBuddy</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HomeBuddy</w:t>
            </w: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Condensed Historical</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HomeBuddy</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QuinStreet, Inc.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Group Condensed</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Statement of</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Statement of</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Historical - After</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Operations Line</w:t>
            </w:r>
          </w:p>
        </w:tc>
        <w:tc>
          <w:tcPr>
            <w:tcW w:w="1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Statement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Operations in U.S.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Reclassification</w:t>
            </w:r>
          </w:p>
        </w:tc>
        <w:tc>
          <w:tcPr>
            <w:tcW w:w="0" w:type="dxa"/>
            <w:vAlign w:val="bottom"/>
          </w:tcPr>
          <w:p>
            <w:pPr>
              <w:spacing w:after="0"/>
              <w:rPr>
                <w:sz w:val="1"/>
                <w:szCs w:val="1"/>
                <w:color w:val="auto"/>
              </w:rPr>
            </w:pPr>
          </w:p>
        </w:tc>
      </w:tr>
      <w:tr>
        <w:trPr>
          <w:trHeight w:val="238"/>
        </w:trPr>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Items</w:t>
            </w:r>
          </w:p>
        </w:tc>
        <w:tc>
          <w:tcPr>
            <w:tcW w:w="12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Operations Line Items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Reclassification</w:t>
            </w:r>
          </w:p>
        </w:tc>
        <w:tc>
          <w:tcPr>
            <w:tcW w:w="220" w:type="dxa"/>
            <w:vAlign w:val="bottom"/>
          </w:tcPr>
          <w:p>
            <w:pPr>
              <w:spacing w:after="0"/>
              <w:rPr>
                <w:sz w:val="20"/>
                <w:szCs w:val="20"/>
                <w:color w:val="auto"/>
              </w:rPr>
            </w:pPr>
          </w:p>
        </w:tc>
        <w:tc>
          <w:tcPr>
            <w:tcW w:w="11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 from services</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132,674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3(m)</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Direct services expense</w:t>
            </w:r>
          </w:p>
        </w:tc>
        <w:tc>
          <w:tcPr>
            <w:tcW w:w="1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3(m)</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3(o)</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3(p)</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30,659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(254)</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3(p)</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3(n)</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(915)</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3(o)</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3(n)</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3(p)</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3(r)</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3(o)</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and valuation</w:t>
            </w: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(2,864)</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3(q)</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2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adjustments on fixed assets</w:t>
            </w: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20,208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3(r)</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3(o)</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(537)</w:t>
            </w: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3(r)</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0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2120" w:type="dxa"/>
            <w:vAlign w:val="bottom"/>
            <w:tcBorders>
              <w:top w:val="single" w:sz="8" w:color="CFF0FC"/>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Income (loss) before</w:t>
            </w: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20,588</w:t>
            </w: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vMerge w:val="restart"/>
          </w:tcPr>
          <w:p>
            <w:pPr>
              <w:spacing w:after="0"/>
              <w:rPr>
                <w:sz w:val="16"/>
                <w:szCs w:val="16"/>
                <w:color w:val="auto"/>
              </w:rPr>
            </w:pPr>
          </w:p>
        </w:tc>
        <w:tc>
          <w:tcPr>
            <w:tcW w:w="11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20,588</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Direct taxes</w:t>
            </w:r>
          </w:p>
        </w:tc>
        <w:tc>
          <w:tcPr>
            <w:tcW w:w="120" w:type="dxa"/>
            <w:vAlign w:val="bottom"/>
            <w:shd w:val="clear" w:color="auto" w:fill="CFF0FC"/>
          </w:tcPr>
          <w:p>
            <w:pPr>
              <w:spacing w:after="0"/>
              <w:rPr>
                <w:sz w:val="16"/>
                <w:szCs w:val="16"/>
                <w:color w:val="auto"/>
              </w:rPr>
            </w:pPr>
          </w:p>
        </w:tc>
        <w:tc>
          <w:tcPr>
            <w:tcW w:w="2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(Provision for) benefit from</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shd w:val="clear" w:color="auto" w:fill="CFF0FC"/>
          </w:tcPr>
          <w:p>
            <w:pPr>
              <w:spacing w:after="0"/>
              <w:rPr>
                <w:sz w:val="16"/>
                <w:szCs w:val="16"/>
                <w:color w:val="auto"/>
              </w:rPr>
            </w:pPr>
          </w:p>
        </w:tc>
        <w:tc>
          <w:tcPr>
            <w:tcW w:w="15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113"/>
        </w:trPr>
        <w:tc>
          <w:tcPr>
            <w:tcW w:w="2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12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580" w:type="dxa"/>
            <w:vAlign w:val="bottom"/>
            <w:gridSpan w:val="2"/>
            <w:vMerge w:val="continue"/>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2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12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12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580" w:type="dxa"/>
            <w:vAlign w:val="bottom"/>
            <w:gridSpan w:val="2"/>
            <w:vMerge w:val="continue"/>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-3325495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-3325495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-1533525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-1533525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-702310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-702310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-153670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-153670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3(m)</w:t>
        <w:tab/>
        <w:t>Reflects the reclassification of fees recorded against net revenue from services to cost of revenue and general and administrative.</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3(n)</w:t>
      </w:r>
      <w:r>
        <w:rPr>
          <w:sz w:val="20"/>
          <w:szCs w:val="20"/>
          <w:color w:val="auto"/>
        </w:rPr>
        <w:tab/>
      </w:r>
      <w:r>
        <w:rPr>
          <w:rFonts w:ascii="Times New Roman" w:cs="Times New Roman" w:eastAsia="Times New Roman" w:hAnsi="Times New Roman"/>
          <w:sz w:val="18"/>
          <w:szCs w:val="18"/>
          <w:color w:val="auto"/>
        </w:rPr>
        <w:t>Reflects the reclassification from direct service expenses to product development, sales and marketing, and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9" w:name="page30"/>
    <w:bookmarkEnd w:id="29"/>
    <w:p>
      <w:pPr>
        <w:jc w:val="both"/>
        <w:ind w:left="580" w:hanging="579"/>
        <w:spacing w:after="0" w:line="273" w:lineRule="auto"/>
        <w:tabs>
          <w:tab w:leader="none" w:pos="560" w:val="left"/>
        </w:tabs>
        <w:rPr>
          <w:sz w:val="20"/>
          <w:szCs w:val="20"/>
          <w:color w:val="auto"/>
        </w:rPr>
      </w:pPr>
      <w:r>
        <w:rPr>
          <w:rFonts w:ascii="Times New Roman" w:cs="Times New Roman" w:eastAsia="Times New Roman" w:hAnsi="Times New Roman"/>
          <w:sz w:val="18"/>
          <w:szCs w:val="18"/>
          <w:color w:val="auto"/>
        </w:rPr>
        <w:t>3(o)</w:t>
      </w:r>
      <w:r>
        <w:rPr>
          <w:sz w:val="20"/>
          <w:szCs w:val="20"/>
          <w:color w:val="auto"/>
        </w:rPr>
        <w:tab/>
      </w:r>
      <w:r>
        <w:rPr>
          <w:rFonts w:ascii="Times New Roman" w:cs="Times New Roman" w:eastAsia="Times New Roman" w:hAnsi="Times New Roman"/>
          <w:sz w:val="18"/>
          <w:szCs w:val="18"/>
          <w:color w:val="auto"/>
        </w:rPr>
        <w:t>Reflects the reclassification from other operating expense to cost of revenue, product development, sales and marketing, and other income (expense), net.</w:t>
      </w:r>
    </w:p>
    <w:p>
      <w:pPr>
        <w:spacing w:after="0" w:line="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3(p)</w:t>
      </w:r>
      <w:r>
        <w:rPr>
          <w:sz w:val="20"/>
          <w:szCs w:val="20"/>
          <w:color w:val="auto"/>
        </w:rPr>
        <w:tab/>
      </w:r>
      <w:r>
        <w:rPr>
          <w:rFonts w:ascii="Times New Roman" w:cs="Times New Roman" w:eastAsia="Times New Roman" w:hAnsi="Times New Roman"/>
          <w:sz w:val="18"/>
          <w:szCs w:val="18"/>
          <w:color w:val="auto"/>
        </w:rPr>
        <w:t>Reflects the reclassification from personnel expense to cost of revenue and general and administrative.</w:t>
      </w:r>
    </w:p>
    <w:p>
      <w:pPr>
        <w:spacing w:after="0" w:line="5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3(q)</w:t>
      </w:r>
      <w:r>
        <w:rPr>
          <w:sz w:val="20"/>
          <w:szCs w:val="20"/>
          <w:color w:val="auto"/>
        </w:rPr>
        <w:tab/>
      </w:r>
      <w:r>
        <w:rPr>
          <w:rFonts w:ascii="Times New Roman" w:cs="Times New Roman" w:eastAsia="Times New Roman" w:hAnsi="Times New Roman"/>
          <w:sz w:val="18"/>
          <w:szCs w:val="18"/>
          <w:color w:val="auto"/>
        </w:rPr>
        <w:t>Reflects the reclassification of depreciation and valuation adjustments on fixed assets to cost of revenue.</w:t>
      </w:r>
    </w:p>
    <w:p>
      <w:pPr>
        <w:spacing w:after="0" w:line="5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3(r)</w:t>
      </w:r>
      <w:r>
        <w:rPr>
          <w:sz w:val="20"/>
          <w:szCs w:val="20"/>
          <w:color w:val="auto"/>
        </w:rPr>
        <w:tab/>
      </w:r>
      <w:r>
        <w:rPr>
          <w:rFonts w:ascii="Times New Roman" w:cs="Times New Roman" w:eastAsia="Times New Roman" w:hAnsi="Times New Roman"/>
          <w:sz w:val="18"/>
          <w:szCs w:val="18"/>
          <w:color w:val="auto"/>
        </w:rPr>
        <w:t>Reflects the reclassification of expenses recorded in interest expense to general and administrative and other income (expense), net.</w:t>
      </w:r>
    </w:p>
    <w:p>
      <w:pPr>
        <w:spacing w:after="0" w:line="5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3(s)</w:t>
      </w:r>
      <w:r>
        <w:rPr>
          <w:sz w:val="20"/>
          <w:szCs w:val="20"/>
          <w:color w:val="auto"/>
        </w:rPr>
        <w:tab/>
      </w:r>
      <w:r>
        <w:rPr>
          <w:rFonts w:ascii="Times New Roman" w:cs="Times New Roman" w:eastAsia="Times New Roman" w:hAnsi="Times New Roman"/>
          <w:sz w:val="18"/>
          <w:szCs w:val="18"/>
          <w:color w:val="auto"/>
        </w:rPr>
        <w:t>Reflects the reclassification of financial income to other income (expense), net.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Preliminary Purchase Price Allocation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preliminary purchase consideration of $179.5 million is allocated to HomeBuddy’s tangible and intangible assets acquired and liabilities assumed based on preliminary estimated fair values. These fair value assessments are based upon available information and certain assumptions, which QuinStreet believes are reasonable under the circumstances. Actual results may differ materially from the assumptions within the pro forma financial information.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preliminary purchase consideration includes a $115.0 million cash payment, subject to certain adjustments as provided in the Purchase Agreement and $75.0 million of Anniversary Payments at a discount rate of 6.1%, payable in equal annual installments over a four-year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pro forma financial information, the preliminary calculation of the purchase consideration is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r>
      <w:tr>
        <w:trPr>
          <w:trHeight w:val="209"/>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90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114,500</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pre-existing relationships</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Seller transaction expenses paid by the Company</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FF0FC"/>
          </w:tcPr>
          <w:p>
            <w:pPr>
              <w:spacing w:after="0"/>
              <w:rPr>
                <w:sz w:val="18"/>
                <w:szCs w:val="18"/>
                <w:color w:val="auto"/>
              </w:rPr>
            </w:pPr>
          </w:p>
        </w:tc>
      </w:tr>
      <w:tr>
        <w:trPr>
          <w:trHeight w:val="216"/>
        </w:trPr>
        <w:tc>
          <w:tcPr>
            <w:tcW w:w="7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cash consideration (Anniversary Payments)</w:t>
            </w:r>
          </w:p>
        </w:tc>
        <w:tc>
          <w:tcPr>
            <w:tcW w:w="2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64,889</w:t>
            </w:r>
          </w:p>
        </w:tc>
        <w:tc>
          <w:tcPr>
            <w:tcW w:w="100" w:type="dxa"/>
            <w:vAlign w:val="bottom"/>
          </w:tcPr>
          <w:p>
            <w:pPr>
              <w:spacing w:after="0"/>
              <w:rPr>
                <w:sz w:val="18"/>
                <w:szCs w:val="18"/>
                <w:color w:val="auto"/>
              </w:rPr>
            </w:pPr>
          </w:p>
        </w:tc>
      </w:tr>
      <w:tr>
        <w:trPr>
          <w:trHeight w:val="210"/>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preliminary purchase consideration</w:t>
            </w:r>
          </w:p>
        </w:tc>
        <w:tc>
          <w:tcPr>
            <w:tcW w:w="90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179,518</w:t>
            </w:r>
          </w:p>
        </w:tc>
        <w:tc>
          <w:tcPr>
            <w:tcW w:w="10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outlined in the Purchase Agreement, QuinStreet acquired all of the issued and outstanding Common Shares and Participation Shares of HomeBuddy from the Sellers in exchange for cash consideration.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the pro forma financial information, the following table sets forth a preliminary allocation of the estimated purchase consideration assuming that the Acquisition occurred on September 30, 2025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Preliminary fair value of estimated purchase consideration</w:t>
            </w:r>
          </w:p>
        </w:tc>
        <w:tc>
          <w:tcPr>
            <w:tcW w:w="320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179,518</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w:t>
            </w: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r>
      <w:tr>
        <w:trPr>
          <w:trHeight w:val="216"/>
        </w:trPr>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320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64,331</w:t>
            </w:r>
          </w:p>
        </w:tc>
        <w:tc>
          <w:tcPr>
            <w:tcW w:w="100" w:type="dxa"/>
            <w:vAlign w:val="bottom"/>
          </w:tcPr>
          <w:p>
            <w:pPr>
              <w:spacing w:after="0"/>
              <w:rPr>
                <w:sz w:val="18"/>
                <w:szCs w:val="18"/>
                <w:color w:val="auto"/>
              </w:rPr>
            </w:pPr>
          </w:p>
        </w:tc>
      </w:tr>
      <w:tr>
        <w:trPr>
          <w:trHeight w:val="210"/>
        </w:trPr>
        <w:tc>
          <w:tcPr>
            <w:tcW w:w="622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18"/>
                <w:szCs w:val="18"/>
                <w:color w:val="auto"/>
              </w:rPr>
            </w:pPr>
          </w:p>
        </w:tc>
      </w:tr>
      <w:tr>
        <w:trPr>
          <w:trHeight w:val="216"/>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FF0FC"/>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Pr>
          <w:p>
            <w:pPr>
              <w:spacing w:after="0"/>
              <w:rPr>
                <w:sz w:val="18"/>
                <w:szCs w:val="18"/>
                <w:color w:val="auto"/>
              </w:rPr>
            </w:pPr>
          </w:p>
        </w:tc>
      </w:tr>
      <w:tr>
        <w:trPr>
          <w:trHeight w:val="210"/>
        </w:trPr>
        <w:tc>
          <w:tcPr>
            <w:tcW w:w="62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0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Preliminary fair value of net assets acquired</w:t>
            </w:r>
          </w:p>
        </w:tc>
        <w:tc>
          <w:tcPr>
            <w:tcW w:w="2000" w:type="dxa"/>
            <w:vAlign w:val="bottom"/>
          </w:tcPr>
          <w:p>
            <w:pPr>
              <w:spacing w:after="0"/>
              <w:rPr>
                <w:sz w:val="18"/>
                <w:szCs w:val="18"/>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41,748</w:t>
            </w:r>
          </w:p>
        </w:tc>
        <w:tc>
          <w:tcPr>
            <w:tcW w:w="100" w:type="dxa"/>
            <w:vAlign w:val="bottom"/>
          </w:tcPr>
          <w:p>
            <w:pPr>
              <w:spacing w:after="0"/>
              <w:rPr>
                <w:sz w:val="18"/>
                <w:szCs w:val="18"/>
                <w:color w:val="auto"/>
              </w:rPr>
            </w:pPr>
          </w:p>
        </w:tc>
      </w:tr>
      <w:tr>
        <w:trPr>
          <w:trHeight w:val="20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Estimated goodwill</w:t>
            </w:r>
          </w:p>
        </w:tc>
        <w:tc>
          <w:tcPr>
            <w:tcW w:w="320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137,770</w:t>
            </w:r>
          </w:p>
        </w:tc>
        <w:tc>
          <w:tcPr>
            <w:tcW w:w="100" w:type="dxa"/>
            <w:vAlign w:val="bottom"/>
            <w:shd w:val="clear" w:color="auto" w:fill="CFF0FC"/>
          </w:tcPr>
          <w:p>
            <w:pPr>
              <w:spacing w:after="0"/>
              <w:rPr>
                <w:sz w:val="18"/>
                <w:szCs w:val="18"/>
                <w:color w:val="auto"/>
              </w:rPr>
            </w:pPr>
          </w:p>
        </w:tc>
      </w:tr>
      <w:tr>
        <w:trPr>
          <w:trHeight w:val="1195"/>
        </w:trPr>
        <w:tc>
          <w:tcPr>
            <w:tcW w:w="62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-2185670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18"/>
          <w:szCs w:val="18"/>
          <w:color w:val="auto"/>
        </w:rPr>
        <w:t>The preliminary estimates of the fair values of assets acquired and liabilities assumed have been determined by management of QuinStreet using publicly available benchmarking information, and other valuation methods, including the multi-period excess earnings method, relief-from-royalty method, with-and-without method, replacement cost method and cost approach. The intangible assets acquired include customer relationships, tradename and trademarks, non-competition agreements, and developed technology. The fair value of the customer relationships was determined using the multi-period excess earnings method. The fair value of the tradename and trademarks was determined using the relief-from-royalty method. The fair value of the non-competition agreement was determined using the with and without method. The fair value of the developed technology was determined using the replacement cost method. The purchase price allocation is preliminary and subject to change, as additional information becomes available and as additional analyses are performed. The difference between the preliminary total consideration and preliminary identifiable net assets acquired is recorded as estimated goodwill. Goodwill recognized in the Acquisition is not expected to be deductible for tax purposes. The final determination will be completed as soon as practicable, but no later than one year after the consummation of the Acquisition, and the final allocation could be materially different from the preliminary allocation used herein.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Transaction Accounting Adjustments to Unaudited Pro Forma Condensed Combined Balance Sheet – HomeBuddy Acquisition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adjustments related to the acquisition of HomeBuddy included in the pro forma balance sheet as of September 30, 2025, are as follows:</w:t>
      </w: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5(a)</w:t>
      </w:r>
      <w:r>
        <w:rPr>
          <w:sz w:val="20"/>
          <w:szCs w:val="20"/>
          <w:color w:val="auto"/>
        </w:rPr>
        <w:tab/>
      </w:r>
      <w:r>
        <w:rPr>
          <w:rFonts w:ascii="Times New Roman" w:cs="Times New Roman" w:eastAsia="Times New Roman" w:hAnsi="Times New Roman"/>
          <w:sz w:val="18"/>
          <w:szCs w:val="18"/>
          <w:color w:val="auto"/>
        </w:rPr>
        <w:t>Reflects the total preliminary purchase consideration of $179.5 million,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2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ind w:left="1200"/>
              <w:spacing w:after="0"/>
              <w:rPr>
                <w:sz w:val="20"/>
                <w:szCs w:val="20"/>
                <w:color w:val="auto"/>
              </w:rPr>
            </w:pPr>
            <w:r>
              <w:rPr>
                <w:rFonts w:ascii="Times New Roman" w:cs="Times New Roman" w:eastAsia="Times New Roman" w:hAnsi="Times New Roman"/>
                <w:sz w:val="18"/>
                <w:szCs w:val="18"/>
                <w:b w:val="1"/>
                <w:bCs w:val="1"/>
                <w:color w:val="auto"/>
                <w:w w:val="99"/>
              </w:rPr>
              <w:t>Pro Forma Adjustments</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Cash and cash</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3"/>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Pr>
          <w:p>
            <w:pPr>
              <w:spacing w:after="0"/>
              <w:rPr>
                <w:sz w:val="16"/>
                <w:szCs w:val="16"/>
                <w:color w:val="auto"/>
              </w:rPr>
            </w:pPr>
          </w:p>
        </w:tc>
        <w:tc>
          <w:tcPr>
            <w:tcW w:w="122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Long term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114,500</w:t>
            </w:r>
          </w:p>
        </w:tc>
        <w:tc>
          <w:tcPr>
            <w:tcW w:w="1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114,500</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Settlement of pre-existing relationships </w:t>
            </w:r>
            <w:r>
              <w:rPr>
                <w:rFonts w:ascii="Times New Roman" w:cs="Times New Roman" w:eastAsia="Times New Roman" w:hAnsi="Times New Roman"/>
                <w:sz w:val="24"/>
                <w:szCs w:val="24"/>
                <w:color w:val="auto"/>
                <w:vertAlign w:val="superscript"/>
              </w:rPr>
              <w:t>(1)</w:t>
            </w:r>
          </w:p>
        </w:tc>
        <w:tc>
          <w:tcPr>
            <w:tcW w:w="520" w:type="dxa"/>
            <w:vAlign w:val="bottom"/>
          </w:tcPr>
          <w:p>
            <w:pPr>
              <w:spacing w:after="0"/>
              <w:rPr>
                <w:sz w:val="18"/>
                <w:szCs w:val="18"/>
                <w:color w:val="auto"/>
              </w:rPr>
            </w:pPr>
          </w:p>
        </w:tc>
        <w:tc>
          <w:tcPr>
            <w:tcW w:w="170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Seller transaction expenses paid by the Company</w:t>
            </w:r>
          </w:p>
        </w:tc>
        <w:tc>
          <w:tcPr>
            <w:tcW w:w="5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cash consideration (Anniversary Payments)</w:t>
            </w:r>
          </w:p>
        </w:tc>
        <w:tc>
          <w:tcPr>
            <w:tcW w:w="5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64,889</w:t>
            </w:r>
          </w:p>
        </w:tc>
        <w:tc>
          <w:tcPr>
            <w:tcW w:w="12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179,518</w:t>
            </w:r>
          </w:p>
        </w:tc>
        <w:tc>
          <w:tcPr>
            <w:tcW w:w="12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114,807</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16,222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48,667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Pro forma adjustment included within Goodwill.</w:t>
      </w:r>
    </w:p>
    <w:p>
      <w:pPr>
        <w:spacing w:after="0" w:line="190" w:lineRule="exact"/>
        <w:rPr>
          <w:sz w:val="20"/>
          <w:szCs w:val="20"/>
          <w:color w:val="auto"/>
        </w:rPr>
      </w:pPr>
    </w:p>
    <w:p>
      <w:pPr>
        <w:jc w:val="both"/>
        <w:ind w:left="580" w:right="20" w:hanging="579"/>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5(b)</w:t>
      </w:r>
      <w:r>
        <w:rPr>
          <w:sz w:val="20"/>
          <w:szCs w:val="20"/>
          <w:color w:val="auto"/>
        </w:rPr>
        <w:tab/>
      </w:r>
      <w:r>
        <w:rPr>
          <w:rFonts w:ascii="Times New Roman" w:cs="Times New Roman" w:eastAsia="Times New Roman" w:hAnsi="Times New Roman"/>
          <w:sz w:val="18"/>
          <w:szCs w:val="18"/>
          <w:color w:val="auto"/>
        </w:rPr>
        <w:t>Reflects $6.0 million for the Cash Sweep Dividend, inclusive of tax withholding, which was distributed to HomeBuddy’s shareholders prior to closing. This dividend represented substantially all cash and cash-like positions on hand (except for an amount necessary to maintain normalized working capital) and was calculated to maximize the distribution of non-operational assets in accordance with applicable Swiss tax regulations and practices.</w:t>
      </w:r>
    </w:p>
    <w:p>
      <w:pPr>
        <w:spacing w:after="0" w:line="4" w:lineRule="exact"/>
        <w:rPr>
          <w:sz w:val="20"/>
          <w:szCs w:val="20"/>
          <w:color w:val="auto"/>
        </w:rPr>
      </w:pPr>
    </w:p>
    <w:p>
      <w:pPr>
        <w:jc w:val="both"/>
        <w:ind w:left="580" w:right="20" w:hanging="579"/>
        <w:spacing w:after="0" w:line="273" w:lineRule="auto"/>
        <w:tabs>
          <w:tab w:leader="none" w:pos="560" w:val="left"/>
        </w:tabs>
        <w:rPr>
          <w:sz w:val="20"/>
          <w:szCs w:val="20"/>
          <w:color w:val="auto"/>
        </w:rPr>
      </w:pPr>
      <w:r>
        <w:rPr>
          <w:rFonts w:ascii="Times New Roman" w:cs="Times New Roman" w:eastAsia="Times New Roman" w:hAnsi="Times New Roman"/>
          <w:sz w:val="18"/>
          <w:szCs w:val="18"/>
          <w:color w:val="auto"/>
        </w:rPr>
        <w:t>5(c)</w:t>
      </w:r>
      <w:r>
        <w:rPr>
          <w:sz w:val="20"/>
          <w:szCs w:val="20"/>
          <w:color w:val="auto"/>
        </w:rPr>
        <w:tab/>
      </w:r>
      <w:r>
        <w:rPr>
          <w:rFonts w:ascii="Times New Roman" w:cs="Times New Roman" w:eastAsia="Times New Roman" w:hAnsi="Times New Roman"/>
          <w:sz w:val="18"/>
          <w:szCs w:val="18"/>
          <w:color w:val="auto"/>
        </w:rPr>
        <w:t>Reflects the recognition of the preliminary estimate of goodwill based on the preliminary purchase price allocation. Refer to Note 4 and Note 5(a) for further details related to the preliminary purchase price allocation.</w:t>
      </w:r>
    </w:p>
    <w:p>
      <w:pPr>
        <w:spacing w:after="0" w:line="2" w:lineRule="exact"/>
        <w:rPr>
          <w:sz w:val="20"/>
          <w:szCs w:val="20"/>
          <w:color w:val="auto"/>
        </w:rPr>
      </w:pPr>
    </w:p>
    <w:p>
      <w:pPr>
        <w:jc w:val="both"/>
        <w:ind w:left="580" w:right="20" w:hanging="579"/>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5(d)</w:t>
      </w:r>
      <w:r>
        <w:rPr>
          <w:sz w:val="20"/>
          <w:szCs w:val="20"/>
          <w:color w:val="auto"/>
        </w:rPr>
        <w:tab/>
      </w:r>
      <w:r>
        <w:rPr>
          <w:rFonts w:ascii="Times New Roman" w:cs="Times New Roman" w:eastAsia="Times New Roman" w:hAnsi="Times New Roman"/>
          <w:sz w:val="18"/>
          <w:szCs w:val="18"/>
          <w:color w:val="auto"/>
        </w:rPr>
        <w:t>Reflects the elimination of HomeBuddy's historical intangible assets related to internally developed software and the recognition of the preliminary estimated fair value of intangible assets acquired in the Acquisition. See tables below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r>
      <w:tr>
        <w:trPr>
          <w:trHeight w:val="209"/>
        </w:trPr>
        <w:tc>
          <w:tcPr>
            <w:tcW w:w="7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intangible assets acquired</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49,500</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HomeBuddy’s historical intangible assets, net</w:t>
            </w:r>
          </w:p>
        </w:tc>
        <w:tc>
          <w:tcPr>
            <w:tcW w:w="380" w:type="dxa"/>
            <w:vAlign w:val="bottom"/>
          </w:tcPr>
          <w:p>
            <w:pPr>
              <w:spacing w:after="0"/>
              <w:rPr>
                <w:sz w:val="18"/>
                <w:szCs w:val="18"/>
                <w:color w:val="auto"/>
              </w:rPr>
            </w:pPr>
          </w:p>
        </w:tc>
        <w:tc>
          <w:tcPr>
            <w:tcW w:w="3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(9,691)</w:t>
            </w:r>
          </w:p>
        </w:tc>
      </w:tr>
      <w:tr>
        <w:trPr>
          <w:trHeight w:val="249"/>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adjustment to intangible assets, net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175"/>
        </w:trPr>
        <w:tc>
          <w:tcPr>
            <w:tcW w:w="7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QuinStreet determined a preliminary fair value estimate of intangible assets and their estimated useful lives, consistent with QuinStreet’s historical accounting policy, resulting from the preliminary fair value allocation of the purchase price. The intangible assets include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 life</w:t>
            </w:r>
          </w:p>
        </w:tc>
      </w:tr>
      <w:tr>
        <w:trPr>
          <w:trHeight w:val="238"/>
        </w:trPr>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Intangible assets acquired</w:t>
            </w: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Preliminary Fair value</w:t>
            </w:r>
          </w:p>
        </w:tc>
        <w:tc>
          <w:tcPr>
            <w:tcW w:w="28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 and trademarks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276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27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76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2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27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88"/>
              </w:rPr>
              <w:t>4</w:t>
            </w:r>
          </w:p>
        </w:tc>
      </w:tr>
      <w:tr>
        <w:trPr>
          <w:trHeight w:val="249"/>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fair value of intangible assets acquired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49,500</w:t>
            </w:r>
          </w:p>
        </w:tc>
        <w:tc>
          <w:tcPr>
            <w:tcW w:w="280" w:type="dxa"/>
            <w:vAlign w:val="bottom"/>
            <w:tcBorders>
              <w:bottom w:val="single" w:sz="8" w:color="CFF0FC"/>
            </w:tcBorders>
            <w:shd w:val="clear" w:color="auto" w:fill="CFF0FC"/>
          </w:tcPr>
          <w:p>
            <w:pPr>
              <w:spacing w:after="0"/>
              <w:rPr>
                <w:sz w:val="21"/>
                <w:szCs w:val="21"/>
                <w:color w:val="auto"/>
              </w:rPr>
            </w:pPr>
          </w:p>
        </w:tc>
        <w:tc>
          <w:tcPr>
            <w:tcW w:w="24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5(e)</w:t>
            </w:r>
          </w:p>
        </w:tc>
        <w:tc>
          <w:tcPr>
            <w:tcW w:w="10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Reflects the accrual of $2.3 million in accrued liabilities for transaction costs incurred by QuinStreet subsequent to September 30, 2025.</w:t>
            </w:r>
          </w:p>
        </w:tc>
        <w:tc>
          <w:tcPr>
            <w:tcW w:w="0" w:type="dxa"/>
            <w:vAlign w:val="bottom"/>
          </w:tcPr>
          <w:p>
            <w:pPr>
              <w:spacing w:after="0"/>
              <w:rPr>
                <w:sz w:val="1"/>
                <w:szCs w:val="1"/>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5(f)</w:t>
            </w:r>
          </w:p>
        </w:tc>
        <w:tc>
          <w:tcPr>
            <w:tcW w:w="10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Reflects the elimination of HomeBuddy’s historical equity balances, including share capital, treasury stock, and accumulated surplus.</w:t>
            </w:r>
          </w:p>
        </w:tc>
        <w:tc>
          <w:tcPr>
            <w:tcW w:w="0" w:type="dxa"/>
            <w:vAlign w:val="bottom"/>
          </w:tcPr>
          <w:p>
            <w:pPr>
              <w:spacing w:after="0"/>
              <w:rPr>
                <w:sz w:val="1"/>
                <w:szCs w:val="1"/>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5(g)</w:t>
            </w:r>
          </w:p>
        </w:tc>
        <w:tc>
          <w:tcPr>
            <w:tcW w:w="10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Reflects income tax-related adjustments. The adjustment to deferred tax liability of $6.9 million, offset by the netting of the $0.3 million deferred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asset, is associated with the incremental differences in the book and tax basis created from the preliminary purchase price allocation, primarily</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resulting from the preliminary fair value of intangible assets. QuinStreet has made no adjustments to HomeBuddy's historical realizability of</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 and will continue to assess such assets, recognizing that realizability could change upon consolidation. This estimate of deferred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was determined based on QuinStreet's expected ability to use HomeBuddy's other tax attributes in future periods, as well as the excess of the</w:t>
            </w:r>
          </w:p>
        </w:tc>
        <w:tc>
          <w:tcPr>
            <w:tcW w:w="0" w:type="dxa"/>
            <w:vAlign w:val="bottom"/>
          </w:tcPr>
          <w:p>
            <w:pPr>
              <w:spacing w:after="0"/>
              <w:rPr>
                <w:sz w:val="1"/>
                <w:szCs w:val="1"/>
                <w:color w:val="auto"/>
              </w:rPr>
            </w:pPr>
          </w:p>
        </w:tc>
      </w:tr>
      <w:tr>
        <w:trPr>
          <w:trHeight w:val="234"/>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5(h)</w:t>
            </w:r>
          </w:p>
        </w:tc>
        <w:tc>
          <w:tcPr>
            <w:tcW w:w="10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values of the acquired assets and liabilities over the tax basis of the assets and liabilities to be acquired.</w:t>
            </w:r>
          </w:p>
        </w:tc>
        <w:tc>
          <w:tcPr>
            <w:tcW w:w="0" w:type="dxa"/>
            <w:vAlign w:val="bottom"/>
          </w:tcPr>
          <w:p>
            <w:pPr>
              <w:spacing w:after="0"/>
              <w:rPr>
                <w:sz w:val="1"/>
                <w:szCs w:val="1"/>
                <w:color w:val="auto"/>
              </w:rPr>
            </w:pPr>
          </w:p>
        </w:tc>
      </w:tr>
      <w:tr>
        <w:trPr>
          <w:trHeight w:val="238"/>
        </w:trPr>
        <w:tc>
          <w:tcPr>
            <w:tcW w:w="440" w:type="dxa"/>
            <w:vAlign w:val="bottom"/>
            <w:vMerge w:val="continue"/>
          </w:tcPr>
          <w:p>
            <w:pPr>
              <w:spacing w:after="0"/>
              <w:rPr>
                <w:sz w:val="20"/>
                <w:szCs w:val="20"/>
                <w:color w:val="auto"/>
              </w:rPr>
            </w:pPr>
          </w:p>
        </w:tc>
        <w:tc>
          <w:tcPr>
            <w:tcW w:w="10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Reflects an adjustment to eliminate intercompany receivables and related payables arising from sales transactions between QuinStreet and</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10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HomeBuddy prior to the acquisition.</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Note 6: Transaction Accounting Adjustments to the Unaudited Pro Forma Condensed Combined Statements of Operations – HomeBuddy Acquisition</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adjustments related to the acquisition of HomeBuddy included in the pro forma statements of operations for the three months ended September 30, 2025, and for the year ended June 30, 2025, are as follows:</w:t>
      </w:r>
    </w:p>
    <w:p>
      <w:pPr>
        <w:spacing w:after="0" w:line="189" w:lineRule="exact"/>
        <w:rPr>
          <w:sz w:val="20"/>
          <w:szCs w:val="20"/>
          <w:color w:val="auto"/>
        </w:rPr>
      </w:pPr>
    </w:p>
    <w:p>
      <w:pPr>
        <w:jc w:val="both"/>
        <w:ind w:left="580" w:right="20" w:hanging="579"/>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6(a)</w:t>
      </w:r>
      <w:r>
        <w:rPr>
          <w:sz w:val="20"/>
          <w:szCs w:val="20"/>
          <w:color w:val="auto"/>
        </w:rPr>
        <w:tab/>
      </w:r>
      <w:r>
        <w:rPr>
          <w:rFonts w:ascii="Times New Roman" w:cs="Times New Roman" w:eastAsia="Times New Roman" w:hAnsi="Times New Roman"/>
          <w:sz w:val="18"/>
          <w:szCs w:val="18"/>
          <w:color w:val="auto"/>
        </w:rPr>
        <w:t>Reflects $0.4 million and $1.1 million of historical intercompany revenue elimination between HomeBuddy and QuinStreet for the three months ended September 30, 2025, and the year ended June 30, 2025, and the corresponding $0.4 million and $1.1 million of elimination of related cost of sales for the three months ended September 30, 2025, and the year ended June 30, 2025.</w:t>
      </w:r>
    </w:p>
    <w:p>
      <w:pPr>
        <w:jc w:val="both"/>
        <w:ind w:left="580" w:right="20" w:hanging="579"/>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6(b)</w:t>
      </w:r>
      <w:r>
        <w:rPr>
          <w:sz w:val="20"/>
          <w:szCs w:val="20"/>
          <w:color w:val="auto"/>
        </w:rPr>
        <w:tab/>
      </w:r>
      <w:r>
        <w:rPr>
          <w:rFonts w:ascii="Times New Roman" w:cs="Times New Roman" w:eastAsia="Times New Roman" w:hAnsi="Times New Roman"/>
          <w:sz w:val="18"/>
          <w:szCs w:val="18"/>
          <w:color w:val="auto"/>
        </w:rPr>
        <w:t>Reflects the elimination of $0.8 million and $2.2 million of HomeBuddy’s historical amortization expense, and the recognition of $1.6 million and $6.6 million of new amortization expense, for the three months ended September 30, 2025, and the year ended June 30, 2025, related to the acquired identifiable intangible assets, based on estimated fair values as of the Acquisition Date. Amortization expense is calculated using the estimated fair value of each identifiable intangible asset and its associated estimated useful life consistent with QuinStreet’s accounting policies.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QuinStreet determined a preliminary fair value estimate of intangible assets based on a valuation conducted by management with the assistance of a third-party valuation specialist. The acquired intangible assets have been amortized to sales and marketing expenses using a straight-line method based on their estimated useful lives as if the Acquisition had been completed on July 1, 2024. See tables below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6680" w:type="dxa"/>
            <w:vAlign w:val="bottom"/>
          </w:tcPr>
          <w:p>
            <w:pPr>
              <w:spacing w:after="0"/>
              <w:rPr>
                <w:sz w:val="20"/>
                <w:szCs w:val="20"/>
                <w:color w:val="auto"/>
              </w:rPr>
            </w:pP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ended September 30, 2025</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20"/>
                <w:szCs w:val="20"/>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 and trademarks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2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w:t>
            </w: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8"/>
                <w:szCs w:val="18"/>
                <w:color w:val="auto"/>
              </w:rPr>
            </w:pPr>
          </w:p>
        </w:tc>
      </w:tr>
      <w:tr>
        <w:trPr>
          <w:trHeight w:val="25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amortization expense for acquired intangible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120" w:type="dxa"/>
            <w:vAlign w:val="bottom"/>
            <w:shd w:val="clear" w:color="auto" w:fill="CFF0FC"/>
          </w:tcPr>
          <w:p>
            <w:pPr>
              <w:spacing w:after="0"/>
              <w:rPr>
                <w:sz w:val="21"/>
                <w:szCs w:val="21"/>
                <w:color w:val="auto"/>
              </w:rPr>
            </w:pPr>
          </w:p>
        </w:tc>
      </w:tr>
      <w:tr>
        <w:trPr>
          <w:trHeight w:val="1175"/>
        </w:trPr>
        <w:tc>
          <w:tcPr>
            <w:tcW w:w="6680" w:type="dxa"/>
            <w:vAlign w:val="bottom"/>
            <w:tcBorders>
              <w:top w:val="single" w:sz="8" w:color="CFF0FC"/>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94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8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-796290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-779145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6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20"/>
                <w:szCs w:val="20"/>
                <w:color w:val="auto"/>
              </w:rPr>
            </w:pPr>
          </w:p>
        </w:tc>
      </w:tr>
      <w:tr>
        <w:trPr>
          <w:trHeight w:val="209"/>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 for acquired intangible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12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Eliminate historical HomeBuddy’s intangible asset amortization expense</w:t>
            </w:r>
          </w:p>
        </w:tc>
        <w:tc>
          <w:tcPr>
            <w:tcW w:w="160" w:type="dxa"/>
            <w:vAlign w:val="bottom"/>
          </w:tcPr>
          <w:p>
            <w:pPr>
              <w:spacing w:after="0"/>
              <w:rPr>
                <w:sz w:val="18"/>
                <w:szCs w:val="18"/>
                <w:color w:val="auto"/>
              </w:rPr>
            </w:pP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(2,153)</w:t>
            </w:r>
          </w:p>
        </w:tc>
      </w:tr>
      <w:tr>
        <w:trPr>
          <w:trHeight w:val="249"/>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adjustment to sales and marketing</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both"/>
        <w:ind w:left="580" w:hanging="579"/>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6(c)</w:t>
      </w:r>
      <w:r>
        <w:rPr>
          <w:sz w:val="20"/>
          <w:szCs w:val="20"/>
          <w:color w:val="auto"/>
        </w:rPr>
        <w:tab/>
      </w:r>
      <w:r>
        <w:rPr>
          <w:rFonts w:ascii="Times New Roman" w:cs="Times New Roman" w:eastAsia="Times New Roman" w:hAnsi="Times New Roman"/>
          <w:sz w:val="18"/>
          <w:szCs w:val="18"/>
          <w:color w:val="auto"/>
        </w:rPr>
        <w:t>Reflects an adjustment for retention bonuses related to the Acquisition. QuinStreet entered into continuation-of-service agreements with certain HomeBuddy executives for continued service post-acquisition. The retention bonuses vest over 6-, 12-, or 18-month periods, are contingent upon continued employment with the company and are treated as post-combination compensation expense. The amounts recognized are based on the months of service completed within the pro forma periods. Retention bonus expense is reflected in product development, general and administrative, and sales and marketing for each of the periods presented.</w:t>
      </w:r>
    </w:p>
    <w:p>
      <w:pPr>
        <w:spacing w:after="0" w:line="8" w:lineRule="exact"/>
        <w:rPr>
          <w:sz w:val="20"/>
          <w:szCs w:val="20"/>
          <w:color w:val="auto"/>
        </w:rPr>
      </w:pPr>
    </w:p>
    <w:p>
      <w:pPr>
        <w:jc w:val="both"/>
        <w:ind w:left="580" w:hanging="579"/>
        <w:spacing w:after="0" w:line="273" w:lineRule="auto"/>
        <w:tabs>
          <w:tab w:leader="none" w:pos="560" w:val="left"/>
        </w:tabs>
        <w:rPr>
          <w:sz w:val="20"/>
          <w:szCs w:val="20"/>
          <w:color w:val="auto"/>
        </w:rPr>
      </w:pPr>
      <w:r>
        <w:rPr>
          <w:rFonts w:ascii="Times New Roman" w:cs="Times New Roman" w:eastAsia="Times New Roman" w:hAnsi="Times New Roman"/>
          <w:sz w:val="18"/>
          <w:szCs w:val="18"/>
          <w:color w:val="auto"/>
        </w:rPr>
        <w:t>6(d)</w:t>
      </w:r>
      <w:r>
        <w:rPr>
          <w:sz w:val="20"/>
          <w:szCs w:val="20"/>
          <w:color w:val="auto"/>
        </w:rPr>
        <w:tab/>
      </w:r>
      <w:r>
        <w:rPr>
          <w:rFonts w:ascii="Times New Roman" w:cs="Times New Roman" w:eastAsia="Times New Roman" w:hAnsi="Times New Roman"/>
          <w:sz w:val="18"/>
          <w:szCs w:val="18"/>
          <w:color w:val="auto"/>
        </w:rPr>
        <w:t>Reflects $2.3 million of transaction related costs, representing professional, advisory, and related fees incurred after September 30, 2025 in connection with the Acquisition. These costs are not expected to recur beyond 12 months after consummation of the Acquisition.</w:t>
      </w:r>
    </w:p>
    <w:p>
      <w:pPr>
        <w:spacing w:after="0" w:line="2" w:lineRule="exact"/>
        <w:rPr>
          <w:sz w:val="20"/>
          <w:szCs w:val="20"/>
          <w:color w:val="auto"/>
        </w:rPr>
      </w:pPr>
    </w:p>
    <w:p>
      <w:pPr>
        <w:jc w:val="both"/>
        <w:ind w:left="580" w:hanging="579"/>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6(e)</w:t>
      </w:r>
      <w:r>
        <w:rPr>
          <w:sz w:val="20"/>
          <w:szCs w:val="20"/>
          <w:color w:val="auto"/>
        </w:rPr>
        <w:tab/>
      </w:r>
      <w:r>
        <w:rPr>
          <w:rFonts w:ascii="Times New Roman" w:cs="Times New Roman" w:eastAsia="Times New Roman" w:hAnsi="Times New Roman"/>
          <w:sz w:val="18"/>
          <w:szCs w:val="18"/>
          <w:color w:val="auto"/>
        </w:rPr>
        <w:t>Reflects the estimated accretion of deferred purchase consideration of $0.7 million and $3.9 million for the three months ended September 30, 2025, and the year ended June 30, 2025. The deferred consideration was recorded at present value on the date of the Acquisition using a discount rate of 6.1%. The interest accretion on the deferred consideration was calculated using the effective interest method and assumes the obligation was outstanding for the whole of the periods presented.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Financing Adjustments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QuinStreet entered into a $150.0 million Revolving Credit Facility on January 2, 2026. The adjustments related to the Revolving Credit Facility included in the pro forma balance sheet as of September 30, 2025, are as follows:</w:t>
      </w:r>
    </w:p>
    <w:p>
      <w:pPr>
        <w:spacing w:after="0" w:line="189" w:lineRule="exact"/>
        <w:rPr>
          <w:sz w:val="20"/>
          <w:szCs w:val="20"/>
          <w:color w:val="auto"/>
        </w:rPr>
      </w:pPr>
    </w:p>
    <w:p>
      <w:pPr>
        <w:jc w:val="both"/>
        <w:ind w:left="580" w:hanging="579"/>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7(a)</w:t>
      </w:r>
      <w:r>
        <w:rPr>
          <w:sz w:val="20"/>
          <w:szCs w:val="20"/>
          <w:color w:val="auto"/>
        </w:rPr>
        <w:tab/>
      </w:r>
      <w:r>
        <w:rPr>
          <w:rFonts w:ascii="Times New Roman" w:cs="Times New Roman" w:eastAsia="Times New Roman" w:hAnsi="Times New Roman"/>
          <w:sz w:val="18"/>
          <w:szCs w:val="18"/>
          <w:color w:val="auto"/>
        </w:rPr>
        <w:t>Reflects the $70.0 million borrowed under the Revolving Credit Facility in connection with the Acquisition entered into by QuinStreet and is assumed to be outstanding as of September 30, 2025. The borrowing is classified as noncurrent debt based on the terms of the Financing Agreement and the stated maturity of January 2, 2031.</w:t>
      </w:r>
    </w:p>
    <w:p>
      <w:pPr>
        <w:jc w:val="both"/>
        <w:ind w:left="580" w:hanging="579"/>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7(b)</w:t>
      </w:r>
      <w:r>
        <w:rPr>
          <w:sz w:val="20"/>
          <w:szCs w:val="20"/>
          <w:color w:val="auto"/>
        </w:rPr>
        <w:tab/>
      </w:r>
      <w:r>
        <w:rPr>
          <w:rFonts w:ascii="Times New Roman" w:cs="Times New Roman" w:eastAsia="Times New Roman" w:hAnsi="Times New Roman"/>
          <w:sz w:val="18"/>
          <w:szCs w:val="18"/>
          <w:color w:val="auto"/>
        </w:rPr>
        <w:t>Reflects the capitalization of $1.7 million of debt issuance costs incurred in connection with the Revolving Credit Facility and the related cash payment at closing. In accordance with U.S. GAAP for line-of-credit arrangements, these costs are presented as a non-current asset and amortized on a straight-line basis over the five-year term of the Revolving Credit Facility.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adjustments related to the Revolving Credit Facility included in the pro forma statements of operations for the three months ended September 30, 2025, and the year ended June 30, 2025, are as follows:</w:t>
      </w:r>
    </w:p>
    <w:p>
      <w:pPr>
        <w:spacing w:after="0" w:line="189" w:lineRule="exact"/>
        <w:rPr>
          <w:sz w:val="20"/>
          <w:szCs w:val="20"/>
          <w:color w:val="auto"/>
        </w:rPr>
      </w:pPr>
    </w:p>
    <w:p>
      <w:pPr>
        <w:jc w:val="both"/>
        <w:ind w:left="580" w:hanging="579"/>
        <w:spacing w:after="0" w:line="254" w:lineRule="auto"/>
        <w:tabs>
          <w:tab w:leader="none" w:pos="560" w:val="left"/>
        </w:tabs>
        <w:rPr>
          <w:sz w:val="20"/>
          <w:szCs w:val="20"/>
          <w:color w:val="auto"/>
        </w:rPr>
      </w:pPr>
      <w:r>
        <w:rPr>
          <w:rFonts w:ascii="Times New Roman" w:cs="Times New Roman" w:eastAsia="Times New Roman" w:hAnsi="Times New Roman"/>
          <w:sz w:val="18"/>
          <w:szCs w:val="18"/>
          <w:color w:val="auto"/>
        </w:rPr>
        <w:t>7(c)</w:t>
      </w:r>
      <w:r>
        <w:rPr>
          <w:sz w:val="20"/>
          <w:szCs w:val="20"/>
          <w:color w:val="auto"/>
        </w:rPr>
        <w:tab/>
      </w:r>
      <w:r>
        <w:rPr>
          <w:rFonts w:ascii="Times New Roman" w:cs="Times New Roman" w:eastAsia="Times New Roman" w:hAnsi="Times New Roman"/>
          <w:sz w:val="18"/>
          <w:szCs w:val="18"/>
          <w:color w:val="auto"/>
        </w:rPr>
        <w:t>Reflects the estimated interest expense adjustment consisting of interest expense on borrowings under the Financing Agreement and the amortization of capitalized debt issuance costs. The borrowing-related interest and amortization are calculated assuming the related borrowings were outstanding for the three months ended September 30, 2025, and the year ended June 30, 2025. Borrowings under the Financing Agreement bear interest at a fluctuating rate per annum equal to the Term SOFR reference rate published by the CME Term SOFR administrator, plus an applicable margin depending on the Consolidated Total Net Leverage Ratio. For purposes of preparing the pro forma financial information, the assumed annual interest rate is 6.5% and the 0.25% annual commitment fee on the $80 million undrawn portion, were based on the rates applicable when the initial drawdown was made. A 125 basis point increase or decrease in the benchmark rate would result in a less than $0.1 million change in interest expense for the three months ended September 30, 2025, and the year ended June 30, 2025. See table below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June 30,</w:t>
            </w:r>
          </w:p>
        </w:tc>
      </w:tr>
      <w:tr>
        <w:trPr>
          <w:trHeight w:val="238"/>
        </w:trPr>
        <w:tc>
          <w:tcPr>
            <w:tcW w:w="5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related to borrowing under the Financing Agreement</w:t>
            </w: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20" w:type="dxa"/>
            <w:vAlign w:val="bottom"/>
          </w:tcPr>
          <w:p>
            <w:pPr>
              <w:spacing w:after="0"/>
              <w:rPr>
                <w:sz w:val="18"/>
                <w:szCs w:val="18"/>
                <w:color w:val="auto"/>
              </w:rPr>
            </w:pPr>
          </w:p>
        </w:tc>
      </w:tr>
      <w:tr>
        <w:trPr>
          <w:trHeight w:val="24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financing interest expense adjustment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20" w:type="dxa"/>
            <w:vAlign w:val="bottom"/>
            <w:shd w:val="clear" w:color="auto" w:fill="CFF0FC"/>
          </w:tcPr>
          <w:p>
            <w:pPr>
              <w:spacing w:after="0"/>
              <w:rPr>
                <w:sz w:val="21"/>
                <w:szCs w:val="21"/>
                <w:color w:val="auto"/>
              </w:rPr>
            </w:pPr>
          </w:p>
        </w:tc>
      </w:tr>
      <w:tr>
        <w:trPr>
          <w:trHeight w:val="1175"/>
        </w:trPr>
        <w:tc>
          <w:tcPr>
            <w:tcW w:w="584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236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236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-796290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-779145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lvl w:ilvl="1">
      <w:lvlJc w:val="left"/>
      <w:lvlText w:val="•"/>
      <w:numFmt w:val="bullet"/>
      <w:start w:val="1"/>
    </w:lvl>
  </w:abstractNum>
  <w:abstractNum w:abstractNumId="2">
    <w:nsid w:val="507ED7AB"/>
    <w:multiLevelType w:val="hybridMultilevel"/>
    <w:lvl w:ilvl="0">
      <w:lvlJc w:val="left"/>
      <w:lvlText w:val="(%1)"/>
      <w:numFmt w:val="lowerLetter"/>
      <w:start w:val="2"/>
    </w:lvl>
    <w:lvl w:ilvl="1">
      <w:lvlJc w:val="left"/>
      <w:lvlText w:val="•"/>
      <w:numFmt w:val="bullet"/>
      <w:start w:val="1"/>
    </w:lvl>
  </w:abstractNum>
  <w:abstractNum w:abstractNumId="3">
    <w:nsid w:val="2EB141F2"/>
    <w:multiLevelType w:val="hybridMultilevel"/>
    <w:lvl w:ilvl="0">
      <w:lvlJc w:val="left"/>
      <w:lvlText w:val="%1"/>
      <w:numFmt w:val="decimal"/>
      <w:start w:val="104"/>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2026-03-13T12:15:16Z</dcterms:created>
  <dcterms:modified xsi:type="dcterms:W3CDTF">2026-03-13T12:15:16Z</dcterms:modified>
</cp:coreProperties>
</file>