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Valenti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TOWER LANE, 12TH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QUINSTREET, INC</w:t>
              </w:r>
            </w:hyperlink>
            <w:r>
              <w:rPr/>
              <w:t xml:space="preserve"> [ </w:t>
            </w:r>
            <w:r>
              <w:rPr>
                <w:rFonts w:ascii="Times;serif" w:hAnsi="Times;serif"/>
                <w:color w:val="0000FF"/>
                <w:sz w:val="24"/>
                <w:shd w:fill="FFFFFF" w:val="clear"/>
              </w:rPr>
              <w:t>QNST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47"/>
        <w:gridCol w:w="438"/>
        <w:gridCol w:w="745"/>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12,085</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975,473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6,043</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969,430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24,169</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945,261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24,169</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921,092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6,043</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915,049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6,043</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909,006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6,043</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902,963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81,655</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821,308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751,631</w:t>
            </w:r>
            <w:r>
              <w:rPr>
                <w:rFonts w:ascii="Times;serif" w:hAnsi="Times;serif"/>
                <w:color w:val="008000"/>
                <w:position w:val="7"/>
                <w:sz w:val="16"/>
                <w:sz w:val="20"/>
                <w:shd w:fill="FFFFFF" w:val="clear"/>
              </w:rPr>
              <w:t>(2)</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w:t>
            </w:r>
            <w:r>
              <w:rPr>
                <w:rFonts w:ascii="Times;serif" w:hAnsi="Times;serif"/>
                <w:color w:val="008000"/>
                <w:position w:val="7"/>
                <w:sz w:val="16"/>
                <w:sz w:val="20"/>
                <w:shd w:fill="FFFFFF" w:val="clear"/>
              </w:rPr>
              <w:t>(3)</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996,278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81,655</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1,077,933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6,903</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Son</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Exempt transaction pursuant to Section 16b-3 for payment of exercise price or tax liability by delivering or withholding securities incident to the receipt, exercise or vesting of a security issued in accordance with Rule 16b-3. All of the shares reported as disposed of in this Form 4 were relinquished to the Issuer by the Reporting Person and cancelled by the Issuer in exchange for the Issuer's agreement to pay federal and state tax withholding obligations of the Reporting Person resulting from the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sold on August 7, 2026, and reported on this Form 4 were sold pursuant to a Rule 10b5-1 trading plan adopted by the Reporting Person on September 6,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were sold at prices ranging from $20.00 to $20.91. The Reporting Person will provide upon request to the Securities and Exchange Commission,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Mr. Valenti's children.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Gregory Wong For: Douglas Valenti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78988" TargetMode="External"/><Relationship Id="rId5" Type="http://schemas.openxmlformats.org/officeDocument/2006/relationships/hyperlink" Target="http://www.sec.gov/cgi-bin/browse-edgar?action=getcompany&amp;CIK=0001117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826</Words>
  <Characters>4365</Characters>
  <CharactersWithSpaces>5043</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