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Ahmed Asmau</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 TOWER LANE, 12TH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FOSTER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QUINSTREET, INC</w:t>
              </w:r>
            </w:hyperlink>
            <w:r>
              <w:rPr/>
              <w:t xml:space="preserve"> [ </w:t>
            </w:r>
            <w:r>
              <w:rPr>
                <w:rFonts w:ascii="Times;serif" w:hAnsi="Times;serif"/>
                <w:color w:val="0000FF"/>
                <w:sz w:val="24"/>
                <w:shd w:fill="FFFFFF" w:val="clear"/>
              </w:rPr>
              <w:t>QNST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20.79</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59,979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20.43</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49,979</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sold at prices between $20.79 to $20.83. The reporting person will provide upon request to the Securities and Exchange Commission,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were sold at prices between $20.40 to $20.46. The reporting person will provide upon request to the Securities and Exchange Commission, the issuer, or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Gregory Wong For: Asmau Ahmed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8936" TargetMode="External"/><Relationship Id="rId5" Type="http://schemas.openxmlformats.org/officeDocument/2006/relationships/hyperlink" Target="http://www.sec.gov/cgi-bin/browse-edgar?action=getcompany&amp;CIK=00011172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659</Words>
  <Characters>3549</Characters>
  <CharactersWithSpaces>4133</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