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Wong Gregory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TOWER LANE,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QUINSTREET, INC</w:t>
              </w:r>
            </w:hyperlink>
            <w:r>
              <w:rPr/>
              <w:t xml:space="preserve"> [ </w:t>
            </w:r>
            <w:r>
              <w:rPr>
                <w:rFonts w:ascii="Times;serif" w:hAnsi="Times;serif"/>
                <w:color w:val="0000FF"/>
                <w:sz w:val="24"/>
                <w:shd w:fill="FFFFFF" w:val="clear"/>
              </w:rPr>
              <w:t>QNST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7,835</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398,179</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75,000</w:t>
            </w:r>
            <w:r>
              <w:rPr>
                <w:rFonts w:ascii="Times;serif" w:hAnsi="Times;serif"/>
                <w:color w:val="008000"/>
                <w:position w:val="7"/>
                <w:sz w:val="16"/>
                <w:sz w:val="20"/>
                <w:shd w:fill="FFFFFF" w:val="clear"/>
              </w:rPr>
              <w:t>(2)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473,179</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75,000</w:t>
            </w:r>
            <w:r>
              <w:rPr>
                <w:rFonts w:ascii="Times;serif" w:hAnsi="Times;serif"/>
                <w:color w:val="008000"/>
                <w:position w:val="7"/>
                <w:sz w:val="16"/>
                <w:sz w:val="20"/>
                <w:shd w:fill="FFFFFF" w:val="clear"/>
              </w:rPr>
              <w:t>(3)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548,179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that are issuable pursuant to a Restricted Stock Unit (RSU) award. 100% of the RSUs vest on August 10,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that are issuable pursuant to a RSU award. The vesting commencement date of the RSU award is August 10, 2026 and it vests 25% after one year and quarterly thereafter in equal installments over a period of 3 years. The initial vest date will be August 10, 2027 and the final vest date will be August 10,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that are issuable pursuant to a Performance-based Restricted Stock Unit (PSU) award, previously granted on July 29, 2025, and earned from performance based on the achievement of certain performance metrics during the fiscal year ended June 30, 2026, as determined on July 29, 2026. 25% of the PSUs vest on August 10, 2026, and the remaining PSUs vest quarterly thereafter over a period of 3 years.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Gregory Wong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3458" TargetMode="External"/><Relationship Id="rId5" Type="http://schemas.openxmlformats.org/officeDocument/2006/relationships/hyperlink" Target="http://www.sec.gov/cgi-bin/browse-edgar?action=getcompany&amp;CIK=0001117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3885</Characters>
  <CharactersWithSpaces>4539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